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ind w:left="0" w:right="0" w:firstLine="360"/>
        <w:jc w:val="right"/>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Amendment No. 1 to Confidential Draft Submission</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As submitted confidentially to the Securities and Exchange Commission on August 3, 2026. This draft registration statement has not been publicly filed with the Securities and Exchange Commission and all information herein remains strictly confidential.</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No. 333-______</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S-1</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REGISTRATION STATEMENT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UNDER</w:t>
      </w:r>
    </w:p>
    <w:p>
      <w:pPr>
        <w:pStyle w:val="TextBody"/>
        <w:bidi w:val="0"/>
        <w:spacing w:lineRule="auto" w:line="288" w:before="0" w:after="120"/>
        <w:jc w:val="center"/>
        <w:rPr>
          <w:rFonts w:ascii="Times New Roman;serif" w:hAnsi="Times New Roman;serif"/>
          <w:b/>
          <w:color w:val="000000"/>
          <w:sz w:val="26"/>
        </w:rPr>
      </w:pPr>
      <w:r>
        <w:rPr>
          <w:rFonts w:ascii="Times New Roman;serif" w:hAnsi="Times New Roman;serif"/>
          <w:b/>
          <w:color w:val="000000"/>
          <w:sz w:val="26"/>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Accelevation Holdings Corp.</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323"/>
        <w:gridCol w:w="1162"/>
        <w:gridCol w:w="1179"/>
        <w:gridCol w:w="109"/>
        <w:gridCol w:w="109"/>
        <w:gridCol w:w="109"/>
        <w:gridCol w:w="1169"/>
        <w:gridCol w:w="1169"/>
        <w:gridCol w:w="1184"/>
        <w:gridCol w:w="109"/>
        <w:gridCol w:w="109"/>
        <w:gridCol w:w="109"/>
        <w:gridCol w:w="694"/>
        <w:gridCol w:w="694"/>
        <w:gridCol w:w="977"/>
      </w:tblGrid>
      <w:tr>
        <w:trPr/>
        <w:tc>
          <w:tcPr>
            <w:tcW w:w="132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42-3222150</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(Primary Standard Industrial 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9555 N. Springboro Pike,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Miamisburg, Ohio 45342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(937) 258-0616</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Rubiera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9555 N. Springboro Pike,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Miamisburg, Ohio 45342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(937) 258-0616</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Copies of all communications, including communications sent to agent for service, should be sent to:</w:t>
      </w:r>
    </w:p>
    <w:tbl>
      <w:tblPr>
        <w:tblW w:w="5201"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799"/>
        <w:gridCol w:w="799"/>
        <w:gridCol w:w="113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Robert M. Hayward, P.C.</w:t>
              <w:br/>
              <w:t>Robert E. Goedert, P.C.</w:t>
              <w:br/>
              <w:t>Kirkland &amp; Ellis LLP</w:t>
              <w:br/>
              <w:t>333 West Wolf Point Plaza</w:t>
              <w:br/>
              <w:t>Chicago, Illinois 60654</w:t>
              <w:br/>
              <w:t>(312) 862-2000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David W. Azarkh</w:t>
              <w:br/>
              <w:t>John G. O’Connell</w:t>
              <w:br/>
              <w:t>Simpson Thacher &amp; Bartlett LLP</w:t>
              <w:br/>
              <w:t>425 Lexington Avenue</w:t>
              <w:br/>
              <w:t>New York, New York 10017</w:t>
              <w:br/>
              <w:t>(212) 455-2000</w:t>
            </w:r>
          </w:p>
        </w:tc>
      </w:tr>
    </w:tbl>
    <w:p>
      <w:pPr>
        <w:pStyle w:val="TextBody"/>
        <w:bidi w:val="0"/>
        <w:spacing w:lineRule="auto" w:line="288" w:before="0" w:after="180"/>
        <w:jc w:val="center"/>
        <w:rPr/>
      </w:pPr>
      <w:r>
        <w:rPr>
          <w:rFonts w:ascii="Times New Roman;serif" w:hAnsi="Times New Roman;serif"/>
          <w:b/>
          <w:color w:val="000000"/>
          <w:sz w:val="14"/>
        </w:rPr>
        <w:t>Approximate date of commencement of proposed sale to the public</w:t>
      </w:r>
      <w:r>
        <w:rPr>
          <w:rFonts w:ascii="Times New Roman;serif" w:hAnsi="Times New Roman;serif"/>
          <w:b w:val="false"/>
          <w:color w:val="000000"/>
          <w:sz w:val="14"/>
        </w:rPr>
        <w:t>: As soon as practicable after this Registration Statement becomes effective.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check the following box:☐</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68" w:before="0" w:after="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88" w:before="0" w:after="6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0" w:after="60"/>
        <w:jc w:val="left"/>
        <w:rPr>
          <w:rFonts w:ascii="Helvetica;sans-serif" w:hAnsi="Helvetica;sans-serif"/>
          <w:b/>
          <w:color w:val="DE1A1E"/>
          <w:sz w:val="16"/>
        </w:rPr>
      </w:pPr>
      <w:r>
        <w:rPr>
          <w:rFonts w:ascii="Helvetica;sans-serif" w:hAnsi="Helvetica;sans-serif"/>
          <w:b/>
          <w:color w:val="DE1A1E"/>
          <w:sz w:val="16"/>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pStyle w:val="TextBody"/>
        <w:bidi w:val="0"/>
        <w:spacing w:lineRule="auto" w:line="288" w:before="0" w:after="60"/>
        <w:jc w:val="center"/>
        <w:rPr>
          <w:rFonts w:ascii="Helvetica;sans-serif" w:hAnsi="Helvetica;sans-serif"/>
          <w:b/>
          <w:color w:val="DE1A1E"/>
          <w:sz w:val="16"/>
        </w:rPr>
      </w:pPr>
      <w:r>
        <w:rPr>
          <w:rFonts w:ascii="Helvetica;sans-serif" w:hAnsi="Helvetica;sans-serif"/>
          <w:b/>
          <w:color w:val="DE1A1E"/>
          <w:sz w:val="16"/>
        </w:rPr>
        <w:t>Subject to Completion, dated                 , 2026</w:t>
      </w:r>
    </w:p>
    <w:p>
      <w:pPr>
        <w:pStyle w:val="TextBody"/>
        <w:bidi w:val="0"/>
        <w:spacing w:before="0" w:after="0"/>
        <w:jc w:val="center"/>
        <w:rPr/>
      </w:pPr>
      <w:r>
        <w:rPr/>
        <w:drawing>
          <wp:inline distT="0" distB="0" distL="0" distR="0">
            <wp:extent cx="2657475"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57475" cy="561975"/>
                    </a:xfrm>
                    <a:prstGeom prst="rect">
                      <a:avLst/>
                    </a:prstGeom>
                  </pic:spPr>
                </pic:pic>
              </a:graphicData>
            </a:graphic>
          </wp:inline>
        </w:drawing>
      </w:r>
    </w:p>
    <w:p>
      <w:pPr>
        <w:pStyle w:val="TextBody"/>
        <w:bidi w:val="0"/>
        <w:spacing w:lineRule="auto" w:line="288" w:before="0" w:after="0"/>
        <w:jc w:val="center"/>
        <w:rPr/>
      </w:pPr>
      <w:r>
        <w:rPr>
          <w:color w:val="000000"/>
        </w:rPr>
        <w:t>                  </w:t>
      </w:r>
      <w:r>
        <w:rPr>
          <w:rFonts w:ascii="Times New Roman;serif" w:hAnsi="Times New Roman;serif"/>
          <w:b w:val="false"/>
          <w:i/>
          <w:color w:val="000000"/>
          <w:sz w:val="36"/>
        </w:rPr>
        <w:t>Shares</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This is the initial public offering of shares of Class A common stock of Accelevation Holdings Corp., par value $                    per share (“Class A common stock”). Accelevation Holdings Corp. is offering                     shares of Class A common stock and the selling stockholders named in this prospectus (the “selling stockholders”) are offering                     shares of Class A common stock to be sold in the offering. We will not receive any of the proceeds from the sale of shares of Class A common stock by the selling stockholders in this offering. See “Use of Proceeds.” Prior to this offering, there has been no public market for the Class A common stock of Accelevation Holdings Corp. It is currently estimated that the initial public offering price per share will be between $                    and $                    . We intend to apply to list our Class A common stock on                      under the symbol “                    .” However, no assurance can be given that our listing application will be approved. If our listing application is not approved by                     , we will not be able to consummate this offering.</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This offering is being conducted through what is commonly referred to as an “Up-C” structure, which is often used by partnerships and limited liability companies undertaking an initial public offering. The Up-C structure allows certain existing owners of Accelevation LLC (“Holdings LLC”) to continue to own interests in a pass-through structure and provides potential future tax benefits for both the public company and such existing owners when they ultimately exchange their pass-through interests, which is expected to result in tax basis adjustments in the assets of Holdings LLC and produce favorable tax attributes for us. In connection with this offering, we will enter into a Tax Receivable Agreement (as defined herein), which will require Accelevation Holdings Corp. to make cash payments to the TRA Rights Holders (as defined herein) in respect of certain tax benefits to which Accelevation Holdings Corp. may become entitled, and confers significant economic benefits to the TRA Rights Holders. We expect that the payments Accelevation Holdings Corp. will be required to make under the Tax Receivable Agreement will be substantial and could materially affect our liquidity. See “Organizational Structure,” “Risk Factors—Risks Related to Our Organizational Structure” and “Certain Relationships and Related Party Transactions—Tax Receivable Agreement.”</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Following the completion of this offering, Accelevation Holdings Corp. will have two authorized classes of common stock: Class A common stock and Class B common stock (together, the “common stock”). Holders of Class A common stock and Class B common stock will be entitled to one vote per share. All holders of Class A common stock and Class B common stock will vote together as a single class except as otherwise required by applicable law. Holders of Class B common stock will not have any right to receive dividends or distributions upon the liquidation or winding up of Accelevation Holdings Corp.</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Accelevation Holdings Corp. will use the net proceeds from this offering to acquire                    Series A units of Holdings LLC (“Series A Units” and, together with Series B units of Holdings LLC (“Series B Units”), the “LLC Units”) (holders of such LLC Units, the “LLC Unitholders”) at a purchase price per Series A Unit equal to the initial public offering price of the shares of Class A common stock less the underwriting discounts and commissions referred to below. Holdings LLC will use the net proceeds it receives from Accelevation Holdings Corp. in connection with this offering as described in “Use of Proceeds.” Upon completion of this offering, Accelevation Holdings Corp. will have                    LLC Units representing a                    % economic interest in Holdings LLC and, although Accelevation Holdings Corp. will initially have a minority economic interest in Holdings LLC, it will be the sole managing member of Holdings LLC and will operate and control its business. The LLC Unitholders will hold the remaining                    LLC Units representing a                    % economic interest in Holdings LLC. Each LLC Unit, together with one share of our Class B common stock, is, from time to time, exchangeable for one share of our Class A common stock or, at our election, for cash from a substantially concurrent public offering or private sale (based on the price of our Class A common stock in such public offering or private sale). Accelevation Holdings Corp. will be a holding company, and upon consummation of this offering and the application of the net proceeds therefrom, its sole assets will be LLC Units and certain interests in Instor Blocker, Inc. (“Instor”). Immediately following this offering, the holders of Class A common stock will collectively own                    % of the economic interests in Accelevation Holdings Corp. and have                    % of the voting power of Accelevation Holdings Corp. The LLC Unitholders, through ownership of our Class B common stock, will have the remaining                    % of the voting power of Accelevation Holdings Corp.</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Accelevation Holdings Corp. is an “emerging growth company” as defined under the federal securities laws, and as such, we have elected to comply with certain reduced reporting requirements for this prospectus and may elect to do so in future filings. See “Prospectus Summary—Implications of Being an Emerging Growth Company.”</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Immediately after this offering, assuming an offering size as set forth above, our principal stockholder, Olympus Partners, LP (our “Principal Stockholder”), will control approximately                    % of the combined voting power of our outstanding shares of Class A common stock and Class B common stock (or                    % if the underwriters exercise their option to purchase additional shares in full). As a result, we expect to be a “controlled company” within the meaning of the corporate governance standards of                     . See “Management—Corporate Governance—Controlled Company Status.”</w:t>
      </w:r>
    </w:p>
    <w:p>
      <w:pPr>
        <w:pStyle w:val="TextBody"/>
        <w:bidi w:val="0"/>
        <w:spacing w:lineRule="auto" w:line="288" w:before="0" w:after="60"/>
        <w:ind w:left="0" w:right="0" w:firstLine="360"/>
        <w:jc w:val="both"/>
        <w:rPr/>
      </w:pPr>
      <w:r>
        <w:rPr>
          <w:rFonts w:ascii="Times New Roman;serif" w:hAnsi="Times New Roman;serif"/>
          <w:b/>
          <w:i/>
          <w:color w:val="000000"/>
          <w:sz w:val="16"/>
        </w:rPr>
        <w:t>Investing in our Class A common stock involves risks. See “</w:t>
      </w:r>
      <w:hyperlink w:anchor="ib0437060bf8941bdac8d94e40b7c03d7_34">
        <w:r>
          <w:rPr>
            <w:rStyle w:val="InternetLink"/>
            <w:rFonts w:ascii="Times New Roman;serif" w:hAnsi="Times New Roman;serif"/>
            <w:b/>
            <w:i/>
            <w:color w:val="0000FF"/>
            <w:sz w:val="16"/>
            <w:u w:val="single"/>
          </w:rPr>
          <w:t>Risk Factors</w:t>
        </w:r>
      </w:hyperlink>
      <w:r>
        <w:rPr>
          <w:color w:val="000000"/>
        </w:rPr>
        <w:t xml:space="preserve">” </w:t>
      </w:r>
      <w:r>
        <w:rPr>
          <w:rFonts w:ascii="Times New Roman;serif" w:hAnsi="Times New Roman;serif"/>
          <w:b/>
          <w:i/>
          <w:color w:val="000000"/>
          <w:sz w:val="16"/>
        </w:rPr>
        <w:t xml:space="preserve">beginning on page </w:t>
      </w:r>
      <w:hyperlink w:anchor="ib0437060bf8941bdac8d94e40b7c03d7_34">
        <w:r>
          <w:rPr>
            <w:rStyle w:val="InternetLink"/>
            <w:rFonts w:ascii="Times New Roman;serif" w:hAnsi="Times New Roman;serif"/>
            <w:b/>
            <w:i/>
            <w:color w:val="0000FF"/>
            <w:sz w:val="16"/>
            <w:u w:val="single"/>
          </w:rPr>
          <w:t>41</w:t>
        </w:r>
      </w:hyperlink>
      <w:r>
        <w:rPr>
          <w:color w:val="000000"/>
        </w:rPr>
        <w:t xml:space="preserve"> </w:t>
      </w:r>
      <w:r>
        <w:rPr>
          <w:rFonts w:ascii="Times New Roman;serif" w:hAnsi="Times New Roman;serif"/>
          <w:b/>
          <w:i/>
          <w:color w:val="000000"/>
          <w:sz w:val="16"/>
        </w:rPr>
        <w:t>to read about factors you should consider before buying shares of our Class A common stock.</w:t>
      </w:r>
    </w:p>
    <w:p>
      <w:pPr>
        <w:pStyle w:val="TextBody"/>
        <w:bidi w:val="0"/>
        <w:spacing w:lineRule="auto" w:line="288" w:before="0" w:after="60"/>
        <w:ind w:left="0" w:right="0" w:firstLine="360"/>
        <w:jc w:val="both"/>
        <w:rPr>
          <w:rFonts w:ascii="Times New Roman;serif" w:hAnsi="Times New Roman;serif"/>
          <w:b/>
          <w:i/>
          <w:color w:val="000000"/>
          <w:sz w:val="16"/>
        </w:rPr>
      </w:pPr>
      <w:r>
        <w:rPr>
          <w:rFonts w:ascii="Times New Roman;serif" w:hAnsi="Times New Roman;serif"/>
          <w:b/>
          <w:i/>
          <w:color w:val="000000"/>
          <w:sz w:val="16"/>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5877" w:type="dxa"/>
        <w:jc w:val="left"/>
        <w:tblInd w:w="0" w:type="dxa"/>
        <w:tblLayout w:type="fixed"/>
        <w:tblCellMar>
          <w:top w:w="28" w:type="dxa"/>
          <w:left w:w="28" w:type="dxa"/>
          <w:bottom w:w="28" w:type="dxa"/>
          <w:right w:w="28" w:type="dxa"/>
        </w:tblCellMar>
      </w:tblPr>
      <w:tblGrid>
        <w:gridCol w:w="1524"/>
        <w:gridCol w:w="1343"/>
        <w:gridCol w:w="1348"/>
        <w:gridCol w:w="375"/>
        <w:gridCol w:w="208"/>
        <w:gridCol w:w="211"/>
        <w:gridCol w:w="109"/>
        <w:gridCol w:w="109"/>
        <w:gridCol w:w="109"/>
        <w:gridCol w:w="231"/>
        <w:gridCol w:w="128"/>
        <w:gridCol w:w="182"/>
      </w:tblGrid>
      <w:tr>
        <w:trPr/>
        <w:tc>
          <w:tcPr>
            <w:tcW w:w="15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Initial public offering price</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Underwriting discounts and commissions</w:t>
            </w:r>
            <w:r>
              <w:rPr>
                <w:rFonts w:ascii="Times New Roman;serif" w:hAnsi="Times New Roman;serif"/>
                <w:b w:val="false"/>
                <w:color w:val="000000"/>
                <w:sz w:val="10"/>
              </w:rPr>
              <w:t>(1)</w:t>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before expenses, to Accelevation Holdings Corp.</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before expenses, to the selling stockholders</w:t>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40" w:after="6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(1)See “Underwriting” for additional information regarding underwriting compensation.</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underwriters have the option to purchase up to an additional             shares of Class A common stock from us and the selling stockholders at the initial public offering price less the underwriting discounts and commissions for a period of 30 days after the date of this prospectus.</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underwriters expect to deliver shares of Class A common stock against payment in New York, New York on or about                     2026.</w:t>
      </w:r>
    </w:p>
    <w:tbl>
      <w:tblPr>
        <w:tblW w:w="5456"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575"/>
        <w:gridCol w:w="575"/>
        <w:gridCol w:w="81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i/>
                <w:color w:val="000000"/>
                <w:sz w:val="36"/>
              </w:rPr>
            </w:pPr>
            <w:r>
              <w:rPr>
                <w:rFonts w:ascii="Times New Roman;serif" w:hAnsi="Times New Roman;serif"/>
                <w:b w:val="false"/>
                <w:i/>
                <w:color w:val="000000"/>
                <w:sz w:val="36"/>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J.P. Morgan</w:t>
            </w:r>
          </w:p>
        </w:tc>
      </w:tr>
    </w:tbl>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Prospectus dated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6860"/>
                <wp:effectExtent l="0" t="0" r="0" b="0"/>
                <wp:wrapNone/>
                <wp:docPr id="3" name="Frame2"/>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jc w:val="center"/>
        <w:rPr/>
      </w:pPr>
      <w:r>
        <w:rPr/>
        <w:drawing>
          <wp:inline distT="0" distB="0" distL="0" distR="0">
            <wp:extent cx="7772400" cy="10058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6860"/>
                <wp:effectExtent l="0" t="0" r="0" b="0"/>
                <wp:wrapNone/>
                <wp:docPr id="5" name="Frame3"/>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before="0" w:after="0"/>
        <w:jc w:val="center"/>
        <w:rPr/>
      </w:pPr>
      <w:r>
        <w:rPr/>
        <w:drawing>
          <wp:inline distT="0" distB="0" distL="0" distR="0">
            <wp:extent cx="7772400" cy="10058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6860"/>
                <wp:effectExtent l="0" t="0" r="0" b="0"/>
                <wp:wrapNone/>
                <wp:docPr id="7" name="Frame4"/>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56"/>
        <w:gridCol w:w="3088"/>
        <w:gridCol w:w="3094"/>
        <w:gridCol w:w="136"/>
        <w:gridCol w:w="136"/>
        <w:gridCol w:w="195"/>
      </w:tblGrid>
      <w:tr>
        <w:trPr/>
        <w:tc>
          <w:tcPr>
            <w:tcW w:w="3556"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3">
              <w:r>
                <w:rPr>
                  <w:rStyle w:val="InternetLink"/>
                  <w:rFonts w:ascii="Times New Roman;serif" w:hAnsi="Times New Roman;serif"/>
                  <w:b w:val="false"/>
                  <w:color w:val="0000FF"/>
                  <w:sz w:val="20"/>
                  <w:u w:val="single"/>
                </w:rPr>
                <w:t>BASIS OF PRESENTATION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3">
              <w:r>
                <w:rPr>
                  <w:rStyle w:val="InternetLink"/>
                  <w:rFonts w:ascii="Times New Roman;serif" w:hAnsi="Times New Roman;serif"/>
                  <w:b w:val="false"/>
                  <w:color w:val="0000FF"/>
                  <w:sz w:val="20"/>
                  <w:u w:val="single"/>
                </w:rPr>
                <w:t>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6">
              <w:r>
                <w:rPr>
                  <w:rStyle w:val="InternetLink"/>
                  <w:rFonts w:ascii="Times New Roman;serif" w:hAnsi="Times New Roman;serif"/>
                  <w:b w:val="false"/>
                  <w:color w:val="0000FF"/>
                  <w:sz w:val="20"/>
                  <w:u w:val="single"/>
                </w:rPr>
                <w:t>MARKET AND INDUSTRY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6">
              <w:r>
                <w:rPr>
                  <w:rStyle w:val="InternetLink"/>
                  <w:rFonts w:ascii="Times New Roman;serif" w:hAnsi="Times New Roman;serif"/>
                  <w:b w:val="false"/>
                  <w:color w:val="0000FF"/>
                  <w:sz w:val="20"/>
                  <w:u w:val="single"/>
                </w:rPr>
                <w:t>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9">
              <w:r>
                <w:rPr>
                  <w:rStyle w:val="InternetLink"/>
                  <w:rFonts w:ascii="Times New Roman;serif" w:hAnsi="Times New Roman;serif"/>
                  <w:b w:val="false"/>
                  <w:color w:val="000080"/>
                  <w:sz w:val="20"/>
                  <w:u w:val="single"/>
                </w:rPr>
                <w:t>TRADEMARKS AND TRADE</w:t>
              </w:r>
            </w:hyperlink>
            <w:hyperlink w:anchor="ib0437060bf8941bdac8d94e40b7c03d7_19">
              <w:r>
                <w:rPr>
                  <w:rStyle w:val="InternetLink"/>
                  <w:rFonts w:ascii="Times New Roman;serif" w:hAnsi="Times New Roman;serif"/>
                  <w:b w:val="false"/>
                  <w:color w:val="000080"/>
                  <w:sz w:val="20"/>
                  <w:u w:val="single"/>
                </w:rPr>
                <w:t xml:space="preserve"> </w:t>
              </w:r>
            </w:hyperlink>
            <w:hyperlink w:anchor="ib0437060bf8941bdac8d94e40b7c03d7_19">
              <w:r>
                <w:rPr>
                  <w:rStyle w:val="InternetLink"/>
                  <w:rFonts w:ascii="Times New Roman;serif" w:hAnsi="Times New Roman;serif"/>
                  <w:b w:val="false"/>
                  <w:color w:val="000080"/>
                  <w:sz w:val="20"/>
                  <w:u w:val="single"/>
                </w:rPr>
                <w:t>NAMES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9">
              <w:r>
                <w:rPr>
                  <w:rStyle w:val="InternetLink"/>
                  <w:rFonts w:ascii="Times New Roman;serif" w:hAnsi="Times New Roman;serif"/>
                  <w:b w:val="false"/>
                  <w:color w:val="0000FF"/>
                  <w:sz w:val="20"/>
                  <w:u w:val="single"/>
                </w:rPr>
                <w:t>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199023258136">
              <w:r>
                <w:rPr>
                  <w:rStyle w:val="InternetLink"/>
                  <w:rFonts w:ascii="Times New Roman;serif" w:hAnsi="Times New Roman;serif"/>
                  <w:b w:val="false"/>
                  <w:color w:val="000080"/>
                  <w:sz w:val="20"/>
                  <w:u w:val="single"/>
                </w:rPr>
                <w:t>L</w:t>
              </w:r>
            </w:hyperlink>
            <w:hyperlink w:anchor="ib0437060bf8941bdac8d94e40b7c03d7_2199023258136">
              <w:r>
                <w:rPr>
                  <w:rStyle w:val="InternetLink"/>
                  <w:rFonts w:ascii="Times New Roman;serif" w:hAnsi="Times New Roman;serif"/>
                  <w:b w:val="false"/>
                  <w:color w:val="000080"/>
                  <w:sz w:val="20"/>
                  <w:u w:val="single"/>
                </w:rPr>
                <w:t>ETTER FROM THE FOUNDERS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199023258136">
              <w:r>
                <w:rPr>
                  <w:rStyle w:val="InternetLink"/>
                  <w:rFonts w:ascii="Times New Roman;serif" w:hAnsi="Times New Roman;serif"/>
                  <w:b w:val="false"/>
                  <w:color w:val="0000FF"/>
                  <w:sz w:val="20"/>
                  <w:u w:val="single"/>
                </w:rPr>
                <w:t>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2">
              <w:r>
                <w:rPr>
                  <w:rStyle w:val="InternetLink"/>
                  <w:rFonts w:ascii="Times New Roman;serif" w:hAnsi="Times New Roman;serif"/>
                  <w:b w:val="false"/>
                  <w:color w:val="0000FF"/>
                  <w:sz w:val="20"/>
                  <w:u w:val="single"/>
                </w:rPr>
                <w:t>GLOSSARY OF CERTAIN TERMS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2">
              <w:r>
                <w:rPr>
                  <w:rStyle w:val="InternetLink"/>
                  <w:rFonts w:ascii="Times New Roman;serif" w:hAnsi="Times New Roman;serif"/>
                  <w:b w:val="false"/>
                  <w:color w:val="0000FF"/>
                  <w:sz w:val="20"/>
                  <w:u w:val="single"/>
                </w:rPr>
                <w:t>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5">
              <w:r>
                <w:rPr>
                  <w:rStyle w:val="InternetLink"/>
                  <w:rFonts w:ascii="Times New Roman;serif" w:hAnsi="Times New Roman;serif"/>
                  <w:b w:val="false"/>
                  <w:color w:val="0000FF"/>
                  <w:sz w:val="20"/>
                  <w:u w:val="single"/>
                </w:rPr>
                <w:t>PROSPECTUS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5">
              <w:r>
                <w:rPr>
                  <w:rStyle w:val="InternetLink"/>
                  <w:rFonts w:ascii="Times New Roman;serif" w:hAnsi="Times New Roman;serif"/>
                  <w:b w:val="false"/>
                  <w:color w:val="0000FF"/>
                  <w:sz w:val="20"/>
                  <w:u w:val="single"/>
                </w:rPr>
                <w:t>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8">
              <w:r>
                <w:rPr>
                  <w:rStyle w:val="InternetLink"/>
                  <w:rFonts w:ascii="Times New Roman;serif" w:hAnsi="Times New Roman;serif"/>
                  <w:b w:val="false"/>
                  <w:color w:val="0000FF"/>
                  <w:sz w:val="20"/>
                  <w:u w:val="single"/>
                </w:rPr>
                <w:t>THE OFFERING</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8">
              <w:r>
                <w:rPr>
                  <w:rStyle w:val="InternetLink"/>
                  <w:rFonts w:ascii="Times New Roman;serif" w:hAnsi="Times New Roman;serif"/>
                  <w:b w:val="false"/>
                  <w:color w:val="0000FF"/>
                  <w:sz w:val="20"/>
                  <w:u w:val="single"/>
                </w:rPr>
                <w:t>33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1">
              <w:r>
                <w:rPr>
                  <w:rStyle w:val="InternetLink"/>
                  <w:rFonts w:ascii="Times New Roman;serif" w:hAnsi="Times New Roman;serif"/>
                  <w:b w:val="false"/>
                  <w:color w:val="0000FF"/>
                  <w:sz w:val="20"/>
                  <w:u w:val="single"/>
                </w:rPr>
                <w:t>SUMMARY HISTORICAL AND UNAUDITED PRO FORMA FINANCIAL AND OTHER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1">
              <w:r>
                <w:rPr>
                  <w:rStyle w:val="InternetLink"/>
                  <w:rFonts w:ascii="Times New Roman;serif" w:hAnsi="Times New Roman;serif"/>
                  <w:b w:val="false"/>
                  <w:color w:val="0000FF"/>
                  <w:sz w:val="20"/>
                  <w:u w:val="single"/>
                </w:rPr>
                <w:t>37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4">
              <w:r>
                <w:rPr>
                  <w:rStyle w:val="InternetLink"/>
                  <w:rFonts w:ascii="Times New Roman;serif" w:hAnsi="Times New Roman;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4">
              <w:r>
                <w:rPr>
                  <w:rStyle w:val="InternetLink"/>
                  <w:rFonts w:ascii="Times New Roman;serif" w:hAnsi="Times New Roman;serif"/>
                  <w:b w:val="false"/>
                  <w:color w:val="0000FF"/>
                  <w:sz w:val="20"/>
                  <w:u w:val="single"/>
                </w:rPr>
                <w:t>41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7">
              <w:r>
                <w:rPr>
                  <w:rStyle w:val="InternetLink"/>
                  <w:rFonts w:ascii="Times New Roman;serif" w:hAnsi="Times New Roman;serif"/>
                  <w:b w:val="false"/>
                  <w:color w:val="0000FF"/>
                  <w:sz w:val="20"/>
                  <w:u w:val="single"/>
                </w:rPr>
                <w:t>FORWARD-LOOKING STATEMENTS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7">
              <w:r>
                <w:rPr>
                  <w:rStyle w:val="InternetLink"/>
                  <w:rFonts w:ascii="Times New Roman;serif" w:hAnsi="Times New Roman;serif"/>
                  <w:b w:val="false"/>
                  <w:color w:val="0000FF"/>
                  <w:sz w:val="20"/>
                  <w:u w:val="single"/>
                </w:rPr>
                <w:t>75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0">
              <w:r>
                <w:rPr>
                  <w:rStyle w:val="InternetLink"/>
                  <w:rFonts w:ascii="Times New Roman;serif" w:hAnsi="Times New Roman;serif"/>
                  <w:b w:val="false"/>
                  <w:color w:val="0000FF"/>
                  <w:sz w:val="20"/>
                  <w:u w:val="single"/>
                </w:rPr>
                <w:t>USE OF PROCEEDS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0">
              <w:r>
                <w:rPr>
                  <w:rStyle w:val="InternetLink"/>
                  <w:rFonts w:ascii="Times New Roman;serif" w:hAnsi="Times New Roman;serif"/>
                  <w:b w:val="false"/>
                  <w:color w:val="0000FF"/>
                  <w:sz w:val="20"/>
                  <w:u w:val="single"/>
                </w:rPr>
                <w:t>77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3">
              <w:r>
                <w:rPr>
                  <w:rStyle w:val="InternetLink"/>
                  <w:rFonts w:ascii="Times New Roman;serif" w:hAnsi="Times New Roman;serif"/>
                  <w:b w:val="false"/>
                  <w:color w:val="0000FF"/>
                  <w:sz w:val="20"/>
                  <w:u w:val="single"/>
                </w:rPr>
                <w:t>DIVIDEND POLICY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3">
              <w:r>
                <w:rPr>
                  <w:rStyle w:val="InternetLink"/>
                  <w:rFonts w:ascii="Times New Roman;serif" w:hAnsi="Times New Roman;serif"/>
                  <w:b w:val="false"/>
                  <w:color w:val="0000FF"/>
                  <w:sz w:val="20"/>
                  <w:u w:val="single"/>
                </w:rPr>
                <w:t>78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6">
              <w:r>
                <w:rPr>
                  <w:rStyle w:val="InternetLink"/>
                  <w:rFonts w:ascii="Times New Roman;serif" w:hAnsi="Times New Roman;serif"/>
                  <w:b w:val="false"/>
                  <w:color w:val="0000FF"/>
                  <w:sz w:val="20"/>
                  <w:u w:val="single"/>
                </w:rPr>
                <w:t>CAPITALIZATION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6">
              <w:r>
                <w:rPr>
                  <w:rStyle w:val="InternetLink"/>
                  <w:rFonts w:ascii="Times New Roman;serif" w:hAnsi="Times New Roman;serif"/>
                  <w:b w:val="false"/>
                  <w:color w:val="0000FF"/>
                  <w:sz w:val="20"/>
                  <w:u w:val="single"/>
                </w:rPr>
                <w:t>79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9">
              <w:r>
                <w:rPr>
                  <w:rStyle w:val="InternetLink"/>
                  <w:rFonts w:ascii="Times New Roman;serif" w:hAnsi="Times New Roman;serif"/>
                  <w:b w:val="false"/>
                  <w:color w:val="0000FF"/>
                  <w:sz w:val="20"/>
                  <w:u w:val="single"/>
                </w:rPr>
                <w:t>DILUTION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9">
              <w:r>
                <w:rPr>
                  <w:rStyle w:val="InternetLink"/>
                  <w:rFonts w:ascii="Times New Roman;serif" w:hAnsi="Times New Roman;serif"/>
                  <w:b w:val="false"/>
                  <w:color w:val="0000FF"/>
                  <w:sz w:val="20"/>
                  <w:u w:val="single"/>
                </w:rPr>
                <w:t>81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2">
              <w:r>
                <w:rPr>
                  <w:rStyle w:val="InternetLink"/>
                  <w:rFonts w:ascii="Times New Roman;serif" w:hAnsi="Times New Roman;serif"/>
                  <w:b w:val="false"/>
                  <w:color w:val="0000FF"/>
                  <w:sz w:val="20"/>
                  <w:u w:val="single"/>
                </w:rPr>
                <w:t>UNAUDITED CONSOLIDATED PRO FORMA FINANCIAL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2">
              <w:r>
                <w:rPr>
                  <w:rStyle w:val="InternetLink"/>
                  <w:rFonts w:ascii="Times New Roman;serif" w:hAnsi="Times New Roman;serif"/>
                  <w:b w:val="false"/>
                  <w:color w:val="0000FF"/>
                  <w:sz w:val="20"/>
                  <w:u w:val="single"/>
                </w:rPr>
                <w:t>83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5">
              <w:r>
                <w:rPr>
                  <w:rStyle w:val="InternetLink"/>
                  <w:rFonts w:ascii="Times New Roman;serif" w:hAnsi="Times New Roman;serif"/>
                  <w:b w:val="false"/>
                  <w:color w:val="0000FF"/>
                  <w:sz w:val="20"/>
                  <w:u w:val="single"/>
                </w:rPr>
                <w:t>UNAUDITED CONSOLIDATED PRO FORMA BALANCE SHEET AS OF DECEMBER 31, 2025</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5">
              <w:r>
                <w:rPr>
                  <w:rStyle w:val="InternetLink"/>
                  <w:rFonts w:ascii="Times New Roman;serif" w:hAnsi="Times New Roman;serif"/>
                  <w:b w:val="false"/>
                  <w:color w:val="0000FF"/>
                  <w:sz w:val="20"/>
                  <w:u w:val="single"/>
                </w:rPr>
                <w:t>85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8">
              <w:r>
                <w:rPr>
                  <w:rStyle w:val="InternetLink"/>
                  <w:rFonts w:ascii="Times New Roman;serif" w:hAnsi="Times New Roman;serif"/>
                  <w:b w:val="false"/>
                  <w:color w:val="0000FF"/>
                  <w:sz w:val="20"/>
                  <w:u w:val="single"/>
                </w:rPr>
                <w:t>NOTES TO UNAUDITED CONSOLIDATED PRO FORMA BALANCE SHEET</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8">
              <w:r>
                <w:rPr>
                  <w:rStyle w:val="InternetLink"/>
                  <w:rFonts w:ascii="Times New Roman;serif" w:hAnsi="Times New Roman;serif"/>
                  <w:b w:val="false"/>
                  <w:color w:val="0000FF"/>
                  <w:sz w:val="20"/>
                  <w:u w:val="single"/>
                </w:rPr>
                <w:t>86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0437060bf8941bdac8d94e40b7c03d7_61">
              <w:r>
                <w:rPr>
                  <w:rStyle w:val="InternetLink"/>
                  <w:rFonts w:ascii="Times New Roman;serif" w:hAnsi="Times New Roman;serif"/>
                  <w:b w:val="false"/>
                  <w:color w:val="0000FF"/>
                  <w:sz w:val="20"/>
                  <w:u w:val="single"/>
                </w:rPr>
                <w:t>UNAUDITED CONSOLIDATED PRO FORMA STATEMENT OF OPERATIONS FOR THE YEAR ENDED DECEMBER 31, 2025</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61">
              <w:r>
                <w:rPr>
                  <w:rStyle w:val="InternetLink"/>
                  <w:rFonts w:ascii="Times New Roman;serif" w:hAnsi="Times New Roman;serif"/>
                  <w:b w:val="false"/>
                  <w:color w:val="0000FF"/>
                  <w:sz w:val="20"/>
                  <w:u w:val="single"/>
                </w:rPr>
                <w:t>89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64">
              <w:r>
                <w:rPr>
                  <w:rStyle w:val="InternetLink"/>
                  <w:rFonts w:ascii="Times New Roman;serif" w:hAnsi="Times New Roman;serif"/>
                  <w:b w:val="false"/>
                  <w:color w:val="0000FF"/>
                  <w:sz w:val="20"/>
                  <w:u w:val="single"/>
                </w:rPr>
                <w:t>NOTES TO UNAUDITED CONSOLIDATED PRO FORMA STATEMENT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64">
              <w:r>
                <w:rPr>
                  <w:rStyle w:val="InternetLink"/>
                  <w:rFonts w:ascii="Times New Roman;serif" w:hAnsi="Times New Roman;serif"/>
                  <w:b w:val="false"/>
                  <w:color w:val="0000FF"/>
                  <w:sz w:val="20"/>
                  <w:u w:val="single"/>
                </w:rPr>
                <w:t>90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0437060bf8941bdac8d94e40b7c03d7_165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656">
              <w:r>
                <w:rPr>
                  <w:rStyle w:val="InternetLink"/>
                  <w:rFonts w:ascii="Times New Roman;serif" w:hAnsi="Times New Roman;serif"/>
                  <w:b w:val="false"/>
                  <w:color w:val="0000FF"/>
                  <w:sz w:val="20"/>
                  <w:u w:val="single"/>
                </w:rPr>
                <w:t>91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0">
              <w:r>
                <w:rPr>
                  <w:rStyle w:val="InternetLink"/>
                  <w:rFonts w:ascii="Times New Roman;serif" w:hAnsi="Times New Roman;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0">
              <w:r>
                <w:rPr>
                  <w:rStyle w:val="InternetLink"/>
                  <w:rFonts w:ascii="Times New Roman;serif" w:hAnsi="Times New Roman;serif"/>
                  <w:b w:val="false"/>
                  <w:color w:val="0000FF"/>
                  <w:sz w:val="20"/>
                  <w:u w:val="single"/>
                </w:rPr>
                <w:t>121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3">
              <w:r>
                <w:rPr>
                  <w:rStyle w:val="InternetLink"/>
                  <w:rFonts w:ascii="Times New Roman;serif" w:hAnsi="Times New Roman;serif"/>
                  <w:b w:val="false"/>
                  <w:color w:val="0000FF"/>
                  <w:sz w:val="20"/>
                  <w:u w:val="single"/>
                </w:rPr>
                <w:t>ORGANIZATIONAL STRUCTURE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3">
              <w:r>
                <w:rPr>
                  <w:rStyle w:val="InternetLink"/>
                  <w:rFonts w:ascii="Times New Roman;serif" w:hAnsi="Times New Roman;serif"/>
                  <w:b w:val="false"/>
                  <w:color w:val="0000FF"/>
                  <w:sz w:val="20"/>
                  <w:u w:val="single"/>
                </w:rPr>
                <w:t>142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6">
              <w:r>
                <w:rPr>
                  <w:rStyle w:val="InternetLink"/>
                  <w:rFonts w:ascii="Times New Roman;serif" w:hAnsi="Times New Roman;serif"/>
                  <w:b w:val="false"/>
                  <w:color w:val="0000FF"/>
                  <w:sz w:val="20"/>
                  <w:u w:val="single"/>
                </w:rPr>
                <w:t>MANAGEMENT</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6">
              <w:r>
                <w:rPr>
                  <w:rStyle w:val="InternetLink"/>
                  <w:rFonts w:ascii="Times New Roman;serif" w:hAnsi="Times New Roman;serif"/>
                  <w:b w:val="false"/>
                  <w:color w:val="0000FF"/>
                  <w:sz w:val="20"/>
                  <w:u w:val="single"/>
                </w:rPr>
                <w:t>153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9">
              <w:r>
                <w:rPr>
                  <w:rStyle w:val="InternetLink"/>
                  <w:rFonts w:ascii="Times New Roman;serif" w:hAnsi="Times New Roman;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9">
              <w:r>
                <w:rPr>
                  <w:rStyle w:val="InternetLink"/>
                  <w:rFonts w:ascii="Times New Roman;serif" w:hAnsi="Times New Roman;serif"/>
                  <w:b w:val="false"/>
                  <w:color w:val="0000FF"/>
                  <w:sz w:val="20"/>
                  <w:u w:val="single"/>
                </w:rPr>
                <w:t>159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2">
              <w:r>
                <w:rPr>
                  <w:rStyle w:val="InternetLink"/>
                  <w:rFonts w:ascii="Times New Roman;serif" w:hAnsi="Times New Roman;serif"/>
                  <w:b w:val="false"/>
                  <w:color w:val="0000FF"/>
                  <w:sz w:val="20"/>
                  <w:u w:val="single"/>
                </w:rPr>
                <w:t>PRINCIPAL AND SELLING STOCKHOLDERS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2">
              <w:r>
                <w:rPr>
                  <w:rStyle w:val="InternetLink"/>
                  <w:rFonts w:ascii="Times New Roman;serif" w:hAnsi="Times New Roman;serif"/>
                  <w:b w:val="false"/>
                  <w:color w:val="0000FF"/>
                  <w:sz w:val="20"/>
                  <w:u w:val="single"/>
                </w:rPr>
                <w:t>163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5">
              <w:r>
                <w:rPr>
                  <w:rStyle w:val="InternetLink"/>
                  <w:rFonts w:ascii="Times New Roman;serif" w:hAnsi="Times New Roman;serif"/>
                  <w:b w:val="false"/>
                  <w:color w:val="0000FF"/>
                  <w:sz w:val="20"/>
                  <w:u w:val="single"/>
                </w:rPr>
                <w:t>CERTAIN RELATIONSHIPS AND RELATED PARTY TRANSACTIONS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5">
              <w:r>
                <w:rPr>
                  <w:rStyle w:val="InternetLink"/>
                  <w:rFonts w:ascii="Times New Roman;serif" w:hAnsi="Times New Roman;serif"/>
                  <w:b w:val="false"/>
                  <w:color w:val="0000FF"/>
                  <w:sz w:val="20"/>
                  <w:u w:val="single"/>
                </w:rPr>
                <w:t>165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8">
              <w:r>
                <w:rPr>
                  <w:rStyle w:val="InternetLink"/>
                  <w:rFonts w:ascii="Times New Roman;serif" w:hAnsi="Times New Roman;serif"/>
                  <w:b w:val="false"/>
                  <w:color w:val="0000FF"/>
                  <w:sz w:val="20"/>
                  <w:u w:val="single"/>
                </w:rPr>
                <w:t>DESCRIPTION OF CERTAIN INDEBTEDNESS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8">
              <w:r>
                <w:rPr>
                  <w:rStyle w:val="InternetLink"/>
                  <w:rFonts w:ascii="Times New Roman;serif" w:hAnsi="Times New Roman;serif"/>
                  <w:b w:val="false"/>
                  <w:color w:val="0000FF"/>
                  <w:sz w:val="20"/>
                  <w:u w:val="single"/>
                </w:rPr>
                <w:t>168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1">
              <w:r>
                <w:rPr>
                  <w:rStyle w:val="InternetLink"/>
                  <w:rFonts w:ascii="Times New Roman;serif" w:hAnsi="Times New Roman;serif"/>
                  <w:b w:val="false"/>
                  <w:color w:val="0000FF"/>
                  <w:sz w:val="20"/>
                  <w:u w:val="single"/>
                </w:rPr>
                <w:t>DESCRIPTION OF CAPITAL STOCK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1">
              <w:r>
                <w:rPr>
                  <w:rStyle w:val="InternetLink"/>
                  <w:rFonts w:ascii="Times New Roman;serif" w:hAnsi="Times New Roman;serif"/>
                  <w:b w:val="false"/>
                  <w:color w:val="0000FF"/>
                  <w:sz w:val="20"/>
                  <w:u w:val="single"/>
                </w:rPr>
                <w:t>171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4">
              <w:r>
                <w:rPr>
                  <w:rStyle w:val="InternetLink"/>
                  <w:rFonts w:ascii="Times New Roman;serif" w:hAnsi="Times New Roman;serif"/>
                  <w:b w:val="false"/>
                  <w:color w:val="0000FF"/>
                  <w:sz w:val="20"/>
                  <w:u w:val="single"/>
                </w:rPr>
                <w:t>SHARES ELIGIBLE FOR FUTURE SALE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4">
              <w:r>
                <w:rPr>
                  <w:rStyle w:val="InternetLink"/>
                  <w:rFonts w:ascii="Times New Roman;serif" w:hAnsi="Times New Roman;serif"/>
                  <w:b w:val="false"/>
                  <w:color w:val="0000FF"/>
                  <w:sz w:val="20"/>
                  <w:u w:val="single"/>
                </w:rPr>
                <w:t>179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7">
              <w:r>
                <w:rPr>
                  <w:rStyle w:val="InternetLink"/>
                  <w:rFonts w:ascii="Times New Roman;serif" w:hAnsi="Times New Roman;serif"/>
                  <w:b w:val="false"/>
                  <w:color w:val="0000FF"/>
                  <w:sz w:val="20"/>
                  <w:u w:val="single"/>
                </w:rPr>
                <w:t>MATERIAL U.S. FEDERAL INCOME TAX CONSEQUENCES TO NON-U.S. HOLDERS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7">
              <w:r>
                <w:rPr>
                  <w:rStyle w:val="InternetLink"/>
                  <w:rFonts w:ascii="Times New Roman;serif" w:hAnsi="Times New Roman;serif"/>
                  <w:b w:val="false"/>
                  <w:color w:val="0000FF"/>
                  <w:sz w:val="20"/>
                  <w:u w:val="single"/>
                </w:rPr>
                <w:t>182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0">
              <w:r>
                <w:rPr>
                  <w:rStyle w:val="InternetLink"/>
                  <w:rFonts w:ascii="Times New Roman;serif" w:hAnsi="Times New Roman;serif"/>
                  <w:b w:val="false"/>
                  <w:color w:val="0000FF"/>
                  <w:sz w:val="20"/>
                  <w:u w:val="single"/>
                </w:rPr>
                <w:t>UNDERWRITING</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0">
              <w:r>
                <w:rPr>
                  <w:rStyle w:val="InternetLink"/>
                  <w:rFonts w:ascii="Times New Roman;serif" w:hAnsi="Times New Roman;serif"/>
                  <w:b w:val="false"/>
                  <w:color w:val="0000FF"/>
                  <w:sz w:val="20"/>
                  <w:u w:val="single"/>
                </w:rPr>
                <w:t>187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3">
              <w:r>
                <w:rPr>
                  <w:rStyle w:val="InternetLink"/>
                  <w:rFonts w:ascii="Times New Roman;serif" w:hAnsi="Times New Roman;serif"/>
                  <w:b w:val="false"/>
                  <w:color w:val="0000FF"/>
                  <w:sz w:val="20"/>
                  <w:u w:val="single"/>
                </w:rPr>
                <w:t>LEGAL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3">
              <w:r>
                <w:rPr>
                  <w:rStyle w:val="InternetLink"/>
                  <w:rFonts w:ascii="Times New Roman;serif" w:hAnsi="Times New Roman;serif"/>
                  <w:b w:val="false"/>
                  <w:color w:val="0000FF"/>
                  <w:sz w:val="20"/>
                  <w:u w:val="single"/>
                </w:rPr>
                <w:t>191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6">
              <w:r>
                <w:rPr>
                  <w:rStyle w:val="InternetLink"/>
                  <w:rFonts w:ascii="Times New Roman;serif" w:hAnsi="Times New Roman;serif"/>
                  <w:b w:val="false"/>
                  <w:color w:val="0000FF"/>
                  <w:sz w:val="20"/>
                  <w:u w:val="single"/>
                </w:rPr>
                <w:t>EXPERTS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6">
              <w:r>
                <w:rPr>
                  <w:rStyle w:val="InternetLink"/>
                  <w:rFonts w:ascii="Times New Roman;serif" w:hAnsi="Times New Roman;serif"/>
                  <w:b w:val="false"/>
                  <w:color w:val="0000FF"/>
                  <w:sz w:val="20"/>
                  <w:u w:val="single"/>
                </w:rPr>
                <w:t>192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9">
              <w:r>
                <w:rPr>
                  <w:rStyle w:val="InternetLink"/>
                  <w:rFonts w:ascii="Times New Roman;serif" w:hAnsi="Times New Roman;serif"/>
                  <w:b w:val="false"/>
                  <w:color w:val="0000FF"/>
                  <w:sz w:val="20"/>
                  <w:u w:val="single"/>
                </w:rPr>
                <w:t>WHERE YOU CAN FIND MORE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9">
              <w:r>
                <w:rPr>
                  <w:rStyle w:val="InternetLink"/>
                  <w:rFonts w:ascii="Times New Roman;serif" w:hAnsi="Times New Roman;serif"/>
                  <w:b w:val="false"/>
                  <w:color w:val="0000FF"/>
                  <w:sz w:val="20"/>
                  <w:u w:val="single"/>
                </w:rPr>
                <w:t>193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12">
              <w:r>
                <w:rPr>
                  <w:rStyle w:val="InternetLink"/>
                  <w:rFonts w:ascii="Times New Roman;serif" w:hAnsi="Times New Roman;serif"/>
                  <w:b w:val="false"/>
                  <w:color w:val="0000FF"/>
                  <w:sz w:val="20"/>
                  <w:u w:val="single"/>
                </w:rPr>
                <w:t>INDEX TO CONSOLIDATED FINANCIAL STATEMENTS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12">
              <w:r>
                <w:rPr>
                  <w:rStyle w:val="InternetLink"/>
                  <w:rFonts w:ascii="Times New Roman;serif" w:hAnsi="Times New Roman;serif"/>
                  <w:b w:val="false"/>
                  <w:color w:val="0000FF"/>
                  <w:sz w:val="20"/>
                  <w:u w:val="single"/>
                </w:rPr>
                <w:t>F-1</w:t>
              </w:r>
            </w:hyperlink>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Neither we, the selling stockholders, nor any of the underwriters have authorized anyone to provide any information or make any representations other than those contained in this prospectus or in any free writing prospectus filed with the U.S. Securities and Exchange Commission (the “SEC”). Neither we, the selling stockholders, nor any of the underwriters take any responsibility for, and can provide no assurance as to the reliability of, any other information that others may give you. This prospectus is not an offer to sell nor is it seeking an offer to buy these securities in any jurisdiction where the offer or sale is not permitted. We and the selling stockholders are offering to sell, and seeking offers to buy, shares of Class A common stock only in jurisdictions where offers and sales are permitted. The information contained in this prospectus is accurate only as of the date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prospectus, regardless of the time of delivery of this prospectus or of any sale of the Class A common stock. Our business, financial condition, results of operations and prospects may have changed since such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investors outside of the United States, neither we, the selling stockholders,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pStyle w:val="TextBody"/>
        <w:bidi w:val="0"/>
        <w:spacing w:lineRule="auto" w:line="288" w:before="160" w:after="283"/>
        <w:ind w:left="0" w:right="0" w:firstLine="360"/>
        <w:jc w:val="both"/>
        <w:rPr>
          <w:rFonts w:ascii="Times New Roman;serif" w:hAnsi="Times New Roman;serif"/>
          <w:b/>
          <w:color w:val="000000"/>
          <w:sz w:val="20"/>
        </w:rPr>
      </w:pPr>
      <w:r>
        <w:rPr>
          <w:rFonts w:ascii="Times New Roman;serif" w:hAnsi="Times New Roman;serif"/>
          <w:b/>
          <w:color w:val="000000"/>
          <w:sz w:val="20"/>
        </w:rPr>
        <w:t>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this offering, we will effect certain organizational transactions. Unless otherwise stated or the context otherwise requires, all information in this prospectus reflects the consummation of the organizational transactions and this offering, which we refer to collectively as the “Organizational Transactions.” See “Organizational Structure” for a description of the Organizational Transactions and a diagram depicting our anticipated structure after giving effect to the Organizational Transactions, including this offering.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acquisition by Olympus Partners, LP on January 2, 2025, a change in control and a related change in the basis of the carrying value of the Company’s assets and liabilities occurred. Accordingly, this prospectus contains the historical financial statements of Accelevation Holding Company, LLC (“Accelevation Holding Company”) and its consolidated subsidiaries for the predecessor period as of and for the year ended December 31, 2024 (the “Predecessor period”), and the historical financial statements of Holdings LLC and its consolidated subsidiaries for the successor period as of and for the year ended December 31, 2025 and subsequent periods (the “Successor period”). The unaudited consolidated pro forma financial data of Accelevation Holdings Corp. presented in this prospectus has been derived from the application of pro forma adjustments to the historical consolidated financial statements of Holdings LLC and its subsidiaries included elsewhere in this prospectus. These pro forma adjustments give effect to the Organizational Transactions as described in “Organizational Structure,” including the consummation of this offering and other related transactions. See “Unaudited Consolidated Pro Forma Financial Information” for a complete description of the adjustments and assumptions underlying the unaudited consolidated pro forma financial data included in this prospectus.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we state otherwise or the context otherwise requires, the terms “we,” “us,” “our,” “our business,” “the Company,” “Accelevation” and similar references refer: (i) on or following the consummation of the Organizational Transactions, including this offering, to Accelevation Holdings Corp. and its consolidated subsidiaries, including Holdings LLC, and (ii) prior to the consummation of the Organizational Transactions, including this offering, to (a) Accelevation Holding Company and its consolidated subsidiaries for the Predecessor period and (b) Holdings LLC and its consolidated subsidiaries for the Successor period. The term “Olympus” refers to Olympus Partners, LP, our Principal Stockholder, and the term “Holdings LLC” refers to Accelevation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be a holding company and the sole managing member of Holdings LLC and, upon consummation of this offering and the application of the net proceeds therefrom, our sole assets will be LLC Units and certain interests in Instor. Holdings LLC is the predecessor of the issuer, Accelevation Holdings Corp., for financial reporting purposes. Accelevation Holdings Corp. will be the reporting entity following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estimates are derived from publicly available information released by third-party sources, as well as data from our internal research, and are based on such data and our knowledge of our industry, which we believe to be reasonable. We have not had this information verified by any independent sources. The independent industry publications used in this prospectus were not prepared on our behalf. While we are not aware of any misstatements regarding any information presented in this prospectus, forecasts, assumptions, expectations, beliefs, estimates and projections involve risk and uncertainties and are subject to change based on various factors, including those described in the sections entitled “Forward-Looking Statements” and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TRADEMARKS AND TRADE NAMES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own or have the right to use various trademarks and service marks that appear in this prospectus, such as “Accelevation,” “SkyBridge” and other trademarks and service marks used in connection with our business,</w:t>
      </w:r>
      <w:r>
        <w:rPr>
          <w:color w:val="000000"/>
        </w:rPr>
        <w:t xml:space="preserve"> </w:t>
      </w:r>
      <w:r>
        <w:rPr>
          <w:rFonts w:ascii="Times New Roman;serif" w:hAnsi="Times New Roman;serif"/>
          <w:b w:val="false"/>
          <w:color w:val="000000"/>
          <w:sz w:val="20"/>
        </w:rPr>
        <w:t xml:space="preserve">which are protected under applicable intellectual property laws. This prospectus also contains trademarks, service marks, trade names and copyrights of other companies which are the property of their respective owners. Solely for convenience, trademarks, service marks, trade names and copyrights referred to in this prospectus may appear without the ®, </w:t>
      </w:r>
      <w:r>
        <w:rPr>
          <w:rFonts w:ascii="Times New Roman;serif" w:hAnsi="Times New Roman;serif"/>
          <w:b w:val="false"/>
          <w:color w:val="000000"/>
          <w:sz w:val="13"/>
        </w:rPr>
        <w:t>SM</w:t>
      </w:r>
      <w:r>
        <w:rPr>
          <w:rFonts w:ascii="Times New Roman;serif" w:hAnsi="Times New Roman;serif"/>
          <w:b w:val="false"/>
          <w:color w:val="000000"/>
          <w:sz w:val="20"/>
        </w:rPr>
        <w:t>, © or ™ symbols, but such references are not intended to indicate, in any way, that we or the applicable owner will not assert, to the fullest extent under applicable law, our rights or the rights of the applicable owner to these trademarks, service marks, trade names and copyrights.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LETTER FROM THE FOUNDERS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Thank you for your interest in Accelevation. We are grateful that you are considering an investment in Accelevation and are reading this letter. The pages that follow explain the products we make, the exciting markets we serve and our historical financial performance. But they do not address the most important question of all—how did we do this? How did a small, Ohio-based manufacturing company started less than a decade ago grow from under $3.0 million in revenue in January 2021 to where we are today? The answer begins with how we operate.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Accelevation is not a conventional manufacturing company, </w:t>
      </w:r>
      <w:r>
        <w:rPr>
          <w:rFonts w:ascii="Times New Roman;serif" w:hAnsi="Times New Roman;serif"/>
          <w:b/>
          <w:color w:val="000000"/>
          <w:sz w:val="20"/>
        </w:rPr>
        <w:t>nor do we intend to become one</w:t>
      </w:r>
      <w:r>
        <w:rPr>
          <w:rFonts w:ascii="Times New Roman;serif" w:hAnsi="Times New Roman;serif"/>
          <w:b w:val="false"/>
          <w:color w:val="000000"/>
          <w:sz w:val="20"/>
        </w:rPr>
        <w:t>. We started Accelevation because we wanted to change the paradigm of modern manufacturing by showing that companies can remain nimble and innovative, regardless of their size. We have intentionally created a culture and a company that operates differently.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our core, we are innovators. We don’t just build products; we design and manufacture solutions to the most demanding scaling challenges of the modern era. We have often said that our growth required the scaffolding to be built as we climbed it, and in many ways that remains true. Staying nimble requires a culture that embraces calculated risk, pivots quickly as business landscapes shift and never loses sight of long-term goals.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this transition will bring important benefits for our employees, our present and future stockholders, our customers and most of all, the communities in which we live and work. It will also help us preserve our exceptional culture, guided by our Core Values and our clearly defined operating principles, The Accelevation Way. These principles are core to who Accelevation is and how we expect we will continue to win.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Who is Accelevation?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began with a name. One that would represent our belief that innovation is at the heart of everything we wanted to build. A name that could speak to the speed with which we knew we would move, adapt and create. Accelerate. Innovation.</w:t>
      </w:r>
    </w:p>
    <w:p>
      <w:pPr>
        <w:pStyle w:val="TextBody"/>
        <w:bidi w:val="0"/>
        <w:spacing w:before="0" w:after="240"/>
        <w:jc w:val="center"/>
        <w:rPr/>
      </w:pPr>
      <w:r>
        <w:rPr/>
        <w:drawing>
          <wp:inline distT="0" distB="0" distL="0" distR="0">
            <wp:extent cx="2657475" cy="5619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657475" cy="561975"/>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2018, we acquired two small tool and die manufacturing companies that, combined, employed approximately 25 people primarily serving the automotive and defense industries. On March 22, 2020, Ohio ordered all non-essential businesses to stay home, causing most of our customers to close their facilities and put on hold all open orders. The COVID-19 pandemic changed everything. As small business owners who had personally guaranteed all loans, the news was devastating and meant everything we owned both personally and professionally was at risk.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Amid market chaos, we immediately implemented two of our most critical values—</w:t>
      </w:r>
      <w:r>
        <w:rPr>
          <w:rFonts w:ascii="Times New Roman;serif" w:hAnsi="Times New Roman;serif"/>
          <w:b/>
          <w:color w:val="000000"/>
          <w:sz w:val="20"/>
        </w:rPr>
        <w:t>Speed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Fearless Innovation</w:t>
      </w:r>
      <w:r>
        <w:rPr>
          <w:color w:val="000000"/>
        </w:rPr>
        <w:t>—</w:t>
      </w:r>
      <w:r>
        <w:rPr>
          <w:rFonts w:ascii="Times New Roman;serif" w:hAnsi="Times New Roman;serif"/>
          <w:b w:val="false"/>
          <w:color w:val="000000"/>
          <w:sz w:val="20"/>
        </w:rPr>
        <w:t>and began to understand one of our most important operating principles—</w:t>
      </w:r>
      <w:r>
        <w:rPr>
          <w:rFonts w:ascii="Times New Roman;serif" w:hAnsi="Times New Roman;serif"/>
          <w:b/>
          <w:color w:val="000000"/>
          <w:sz w:val="20"/>
        </w:rPr>
        <w:t>Win in the Turns</w:t>
      </w:r>
      <w:r>
        <w:rPr>
          <w:rFonts w:ascii="Times New Roman;serif" w:hAnsi="Times New Roman;serif"/>
          <w:b w:val="false"/>
          <w:color w:val="000000"/>
          <w:sz w:val="20"/>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Win in the Turns means leveraging moments of market upheaval and chaos—the “turns”—to outpace competitors, innovate and turn potential crises into sustainable, long-term competitive advantages. We did just that. In under 48 hours, we designed a platform of solutions out of our garage to help hospitals and schools open safely. During the next 12 months, we were not only able to keep every employee on our payroll, but also posted an increase in revenue.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COVID-19 pandemic began to stabilize, we looked at how air barriers could be used in other industries. Data center air flow containment was a natural progression and in January 2021, we launched that new business line. In the first 30 days, we landed a major job for a well-known hyperscaler. They had an immediate need for containment due to a competitor not being able to hit their deadline. We accepted the job and had less than three weeks to deliver.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problem was that the COVID-19 pandemic was still impacting supply chains, and a critical fastener required on every panel was unavailable globally. We had to adapt and pivot, which is another key principle of Accelevation. Our small team designed our own fastener that we could make on our CNC machines. To make this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work, we had a choice: transition all machines to make this one component for this one order, moving away from our existing 30+ customers, or walk away. We chose to commit 100% to the mission-critical space.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next five years, we added over 1,700 new employees and expanded from 20,000 square feet of manufacturing capacity to approximately 1.1 million. Our team launched infrastructure metal solutions, mechanical cooling and power distribution products within weeks of development, not years.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What Makes This Team Special?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take this next step in our journey, we want to share the core principles that guide how we operate, how we make decisions and how we intend to keep delivering long-term value. This is “The Way” we build Accelevation.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Innovation Driven by Curiosity and Simplicity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True innovation does not come from doing things the way they have always been done. It is fueled by </w:t>
      </w:r>
      <w:r>
        <w:rPr>
          <w:rFonts w:ascii="Times New Roman;serif" w:hAnsi="Times New Roman;serif"/>
          <w:b/>
          <w:color w:val="000000"/>
          <w:sz w:val="20"/>
        </w:rPr>
        <w:t>curiosity</w:t>
      </w:r>
      <w:r>
        <w:rPr>
          <w:rFonts w:ascii="Times New Roman;serif" w:hAnsi="Times New Roman;serif"/>
          <w:b w:val="false"/>
          <w:color w:val="000000"/>
          <w:sz w:val="20"/>
        </w:rPr>
        <w:t xml:space="preserve">, and we lead with it. We acknowledge that we do not know everything, and we actively challenge the status quo to find a better way.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But as we innovate, we fiercely guard against complexity. Our engineering philosophy is grounded in </w:t>
      </w:r>
      <w:r>
        <w:rPr>
          <w:rFonts w:ascii="Times New Roman;serif" w:hAnsi="Times New Roman;serif"/>
          <w:b/>
          <w:color w:val="000000"/>
          <w:sz w:val="20"/>
        </w:rPr>
        <w:t>Keeping it Simple</w:t>
      </w:r>
      <w:r>
        <w:rPr>
          <w:rFonts w:ascii="Times New Roman;serif" w:hAnsi="Times New Roman;serif"/>
          <w:b w:val="false"/>
          <w:color w:val="000000"/>
          <w:sz w:val="20"/>
        </w:rPr>
        <w:t xml:space="preserve">. By eliminating unnecessary complexity in our systems, products and communication, we enhance clarity, lower the risk of failure and optimize resource efficiency.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Getting the Right People in the Right Seats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are uncompromising when it comes to talent. We look for </w:t>
      </w:r>
      <w:r>
        <w:rPr>
          <w:rFonts w:ascii="Times New Roman;serif" w:hAnsi="Times New Roman;serif"/>
          <w:b/>
          <w:color w:val="000000"/>
          <w:sz w:val="20"/>
        </w:rPr>
        <w:t>Builders</w:t>
      </w:r>
      <w:r>
        <w:rPr>
          <w:color w:val="000000"/>
        </w:rPr>
        <w:t>—</w:t>
      </w:r>
      <w:r>
        <w:rPr>
          <w:rFonts w:ascii="Times New Roman;serif" w:hAnsi="Times New Roman;serif"/>
          <w:b w:val="false"/>
          <w:color w:val="000000"/>
          <w:sz w:val="20"/>
        </w:rPr>
        <w:t xml:space="preserve">individuals who thrive on doing things that have never been done before, drive efficiency and leave things better than they found them.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leadership is about evolving while staying true to your authentic self. Trust is built on authenticity, and we encourage people to use their values and personality as their leadership compass.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 High-Performance Culture Built on Radical Transparency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have extraordinarily high expectations for ourselves and our teams. To maintain this standard, we foster an environment of </w:t>
      </w:r>
      <w:r>
        <w:rPr>
          <w:rFonts w:ascii="Times New Roman;serif" w:hAnsi="Times New Roman;serif"/>
          <w:b/>
          <w:color w:val="000000"/>
          <w:sz w:val="20"/>
        </w:rPr>
        <w:t>Radical Truth and Radical Transparency</w:t>
      </w:r>
      <w:r>
        <w:rPr>
          <w:rFonts w:ascii="Times New Roman;serif" w:hAnsi="Times New Roman;serif"/>
          <w:b w:val="false"/>
          <w:color w:val="000000"/>
          <w:sz w:val="20"/>
        </w:rPr>
        <w:t xml:space="preserve">. </w:t>
      </w:r>
    </w:p>
    <w:p>
      <w:pPr>
        <w:pStyle w:val="TextBody"/>
        <w:bidi w:val="0"/>
        <w:spacing w:lineRule="auto" w:line="288" w:before="160" w:after="283"/>
        <w:ind w:left="0" w:right="0" w:firstLine="360"/>
        <w:jc w:val="both"/>
        <w:rPr/>
      </w:pPr>
      <w:r>
        <w:rPr>
          <w:rFonts w:ascii="Times New Roman;serif" w:hAnsi="Times New Roman;serif"/>
          <w:b/>
          <w:color w:val="000000"/>
          <w:sz w:val="20"/>
        </w:rPr>
        <w:t>We get comfortable being uncomfortable</w:t>
      </w:r>
      <w:r>
        <w:rPr>
          <w:rFonts w:ascii="Times New Roman;serif" w:hAnsi="Times New Roman;serif"/>
          <w:b w:val="false"/>
          <w:color w:val="000000"/>
          <w:sz w:val="20"/>
        </w:rPr>
        <w:t xml:space="preserve">, because growth and comfort cannot coexist.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Agility Is Our Muscle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Business landscapes are constantly evolving. To thrive in this environment, we rely on </w:t>
      </w:r>
      <w:r>
        <w:rPr>
          <w:rFonts w:ascii="Times New Roman;serif" w:hAnsi="Times New Roman;serif"/>
          <w:b/>
          <w:color w:val="000000"/>
          <w:sz w:val="20"/>
        </w:rPr>
        <w:t>The Pivot Principle</w:t>
      </w:r>
      <w:r>
        <w:rPr>
          <w:rFonts w:ascii="Times New Roman;serif" w:hAnsi="Times New Roman;serif"/>
          <w:b w:val="false"/>
          <w:color w:val="000000"/>
          <w:sz w:val="20"/>
        </w:rPr>
        <w:t xml:space="preserve">. At Accelevation, we </w:t>
      </w:r>
      <w:r>
        <w:rPr>
          <w:rFonts w:ascii="Times New Roman;serif" w:hAnsi="Times New Roman;serif"/>
          <w:b/>
          <w:color w:val="000000"/>
          <w:sz w:val="20"/>
        </w:rPr>
        <w:t>fail fast and learn faster</w:t>
      </w:r>
      <w:r>
        <w:rPr>
          <w:rFonts w:ascii="Times New Roman;serif" w:hAnsi="Times New Roman;serif"/>
          <w:b w:val="false"/>
          <w:color w:val="000000"/>
          <w:sz w:val="20"/>
        </w:rPr>
        <w:t xml:space="preserve">. When setbacks occur, we reflect on what part of the system failed and what we will do differently next time. We work hard to not repeat mistakes; we view pain plus reflection as the ultimate driver of progress.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Judgment and Accountability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Decisive discernment is critical at Accelevation. When data is incomplete, success depends on translating context, risk and human dynamics into timely, strategic action. We make decisions without waiting for perfect certainty.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It is a core value that moves us from “why” to “how,” rejecting blame with a focus on solutions. </w:t>
      </w:r>
      <w:r>
        <w:rPr>
          <w:rFonts w:ascii="Times New Roman;serif" w:hAnsi="Times New Roman;serif"/>
          <w:b/>
          <w:color w:val="000000"/>
          <w:sz w:val="20"/>
        </w:rPr>
        <w:t>See it. Own it. Solve it</w:t>
      </w:r>
      <w:r>
        <w:rPr>
          <w:rFonts w:ascii="Times New Roman;serif" w:hAnsi="Times New Roman;serif"/>
          <w:b w:val="false"/>
          <w:color w:val="000000"/>
          <w:sz w:val="20"/>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People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purpose-built, people-first organization driven by a belief that success starts with investing in our people and strengthening the communities around us. We’re dedicated to leading with intention by paying above market compensation, introducing bold and innovative incentives and expanding benefits that truly make a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difference—like our AcceleHOME first-time homebuyer program. At every step, we’re focused on supporting our people not just at work but in life.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Accelevation Academy develops skilled trades talent from within through the tools, training and confidence to build meaningful careers. Through hands-on learning, internships, apprenticeships and professional development, we are creating real opportunities for advancement.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Moving Forward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the astronaut and scientist Mae Jemison noted, “</w:t>
      </w:r>
      <w:r>
        <w:rPr>
          <w:rFonts w:ascii="Times New Roman;serif" w:hAnsi="Times New Roman;serif"/>
          <w:b w:val="false"/>
          <w:i/>
          <w:color w:val="000000"/>
          <w:sz w:val="20"/>
        </w:rPr>
        <w:t>I like to think of ideas as potential energy. They're really wonderful, but nothing will happen until we risk putting them into action.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Accelevation, we take that risk every day. We combine a relentless culture of innovation with an unwavering commitment to the human beings who power it. We are proud of our team of innovators, entrepreneurs and builders. At Accelevation, we will continue to build, driven by possibility, grounded in purpose and fearless in pursuit of what comes next.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American manufacturing ingenuity is alive and well and growing every day. We invite you to join us on this journey as we scale our platform, empower our builders and manufacture the future.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-Michael and Shawn Rubiera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GLOSSARY OF CERTAIN TERMS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abbreviations, acronyms and definitions of certain terms used in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2026 Plan” means the Accelevation Holdings Corp. 2026 Omnibus Incentive Plan;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Holding Company” means Accelevation Holding Company,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means Accelevation Pubco Holdings LP, a Delaware limited partnership;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AI” means artificial intelligence, which refers to the simulation of human intelligence in machines that are programmed to think and act like humans;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backlog” is defined as the remaining unrecognized revenue on executed contracts and purchase orders, as well as letters of intent and notices to proceed with respect to purchase orders received in writing;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book-to-bill ratio” is defined as bookings divided by revenue for the applicable period;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bookings” is defined as the aggregate dollar value of executed customer contracts and purchase orders, as well as letters of intent and notices to proceed with respect to purchase orders received in writing, during a given period;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Credit Agreement” means the credit agreement, dated as of January 2, 2025 (as amended to date), by and among Holdings LLC, as borrower, MidCap Financial Trust, as administrative agent and collateral agent, and the lenders party thereto;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data centers” means facilities housing servers, networking equipment and systems used for electronically storing and managing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DGCL” means the Delaware General Corporation Law;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Exchange Act” means the Securities Exchange Act of 1934, as amended;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Exchange Agreement” means the Exchange Agreement to be entered into by Accelevation Holdings Corp., Investment Holdings and certain other existing owners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GPU” means graphics processing unit;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HD-RPPs” means high-density remote power panels;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Holdings LLC” means Accelevation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Instor” means Instor Blocker, Inc., a Delaware corporation;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means Accelevation Investment Holdings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IPO” means this initial public offering;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IRS” means the U.S. Internal Revenue Service;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Operating Agreement” means the existing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Unitholders” means the holders of LLC Units;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Units” means, collectively, the Series A Units and Series B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Olympus,” our “Principal Stockholder” or “sponsor” means Olympus Partners, LP;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Olympus Holdings Aggregator” means Olympus Accelevation Holdings Aggregator LLC, a Delaware limited liability company;</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PDUs” means power distribution units;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means the revolving credit facility under the Credit Agreement;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RPPs” means remote power panels;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SEC” means the U.S. Securities and Exchange Commission;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Securities Act” means the Securities Act of 1933, as amended;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Series A Units” means the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Series B Units” means the Series B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SkyBridge” means our patent</w:t>
        <w:noBreakHyphen/>
        <w:t>pending modular infrastructure platform for data centers, specifically designed to speed up and standardize the build</w:t>
        <w:noBreakHyphen/>
        <w:t>out of high</w:t>
        <w:noBreakHyphen/>
        <w:t>density data center white space;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 Receivable Agreement” means the Tax Receivable Agreement to be entered into by Accelevation Holdings Corp. and the TRA Rights 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Facility” means the term loan facility and delayed draw term loan facility under the Credit Agreement;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TRA Rights Holders” means Investment Holdings and Accelevation Pubco Holdings, which are entities controlled by our Principal Stockholder, and permitted transferees thereof;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UL” means Underwriters Laboratories, a global safety science organization that tests and certifies products to ensure they meet safety standards, including those for electrical components and systems;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white space” means the area in the data center where IT equipment is located. White space includes the racks and cabinets that house servers, storage systems and networking gear, hot- and cold-aisle containment systems and power distribution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160" w:after="283"/>
        <w:ind w:left="0" w:right="0" w:firstLine="360"/>
        <w:jc w:val="both"/>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The following summary contains selected information contained elsewhere in this prospectus about us and about this offering. It does not contain all of the information that is important to you and your investment decision. Before you make an investment decision, you should review this prospectus in its entirety, including the matters set forth in the sections entitled “Risk Factors,” “Management’s Discussion and Analysis of Financial Condition and Results of Operations” and our consolidated financial statements and the related notes included elsewhere in this prospectus. Some of the statements in the following summary constitute forward-looking statements. See “Forward-Looking Statements.” </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Accelevation is a vertically integrated infrastructure platform that designs, manufactures and installs power distribution and white space infrastructure products for mission-critical environments. We help hyperscale, colocation, artificial intelligence (“AI”), cloud and other large-scale data center customers accelerate deployment through integrated, factory-built solutions designed for speed, scalability and deployment certainty. Our execution against these customer needs drove 147% year-over-year revenue growth from 2024 to 2025 and contributed to a backlog of approximately $650.4 million as of March 31, 2026.</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operate in a large and rapidly expanding market, with BCE estimating our actionable data center total addressable market (“TAM”) to be $22.0 billion in 2025, with growth projected at an estimated 30% compound annual growth rate (“CAGR”) to approximately $80 billion by 2030. This growth is driven by cloud computing, AI, enterprise digitization and broader digital workloads, all of which require greater data center capacity, more advanced infrastructure and continued investment across power distribution, modular infrastructure, thermal management, design and services.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customers race to bring new compute capacity online, traditional manufacturing models, fragmented supply chains and multi-vendor delivery approaches are often not built to support the unprecedented speed, customization and coordination required for next-generation data center deployments. We believe these fragmented models impose a “complexity tax” on customers, including additional coordination burden, vendor handoffs, schedule friction, field rework, change-order risk and reduced accountability across connected scopes of work. These challenges are becoming more acute as white space infrastructure becomes more complex and demanding, with AI-driven and high-density deployments requiring greater power density, more advanced cooling architectures, liquid-cooling readiness and tighter coordination across power, cooling and structural systems. At the same time, chip architectures, power requirements, cooling methods and customer-specific standards continue to evolve, exposing the limitations of catalog-based approaches and disconnected suppliers.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val="false"/>
          <w:color w:val="000000"/>
          <w:sz w:val="20"/>
          <w:bdr w:val="single" w:sz="8" w:space="36" w:color="000000"/>
        </w:rPr>
        <w:t>Driven by an entrepreneurial culture of relentless execution and continuous innovation, we believe Accelevation is optimally positioned to address these challenges through our vertically integrated “</w:t>
      </w:r>
      <w:r>
        <w:rPr>
          <w:rFonts w:ascii="Times New Roman;serif" w:hAnsi="Times New Roman;serif"/>
          <w:b w:val="false"/>
          <w:i/>
          <w:color w:val="000000"/>
          <w:sz w:val="20"/>
          <w:bdr w:val="single" w:sz="8" w:space="36" w:color="000000"/>
        </w:rPr>
        <w:t>Design. Manufacture. Install.</w:t>
      </w:r>
      <w:r>
        <w:rPr>
          <w:color w:val="000000"/>
          <w:bdr w:val="single" w:sz="8" w:space="36" w:color="000000"/>
        </w:rPr>
        <w:t xml:space="preserve">” </w:t>
      </w:r>
      <w:r>
        <w:rPr>
          <w:rFonts w:ascii="Times New Roman;serif" w:hAnsi="Times New Roman;serif"/>
          <w:b w:val="false"/>
          <w:color w:val="000000"/>
          <w:sz w:val="20"/>
          <w:bdr w:val="single" w:sz="8" w:space="36" w:color="000000"/>
        </w:rPr>
        <w:t>operating model. By replacing a fragmented set of suppliers with a unified operating partner across engineering, manufacturing, electrical scope, installation and project coordination, we believe we reduce deployment complexity, improve schedule control, accelerate installation timelines and enable faster adaptation to evolving customer requirements and changing job-site conditions.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combination of culture, vertical integration, customer responsiveness and execution discipline enables us to help hyperscale, colocation, AI, cloud and enterprise data center customers deploy mission-critical infrastructure with greater speed, flexibility and certainty.</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Offerings</w:t>
      </w:r>
    </w:p>
    <w:p>
      <w:pPr>
        <w:pStyle w:val="TextBody"/>
        <w:bidi w:val="0"/>
        <w:spacing w:lineRule="auto" w:line="288" w:before="16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 summarizes our primary offerings:</w:t>
      </w:r>
    </w:p>
    <w:tbl>
      <w:tblPr>
        <w:tblW w:w="10205" w:type="dxa"/>
        <w:jc w:val="left"/>
        <w:tblInd w:w="0" w:type="dxa"/>
        <w:tblLayout w:type="fixed"/>
        <w:tblCellMar>
          <w:top w:w="28" w:type="dxa"/>
          <w:left w:w="28" w:type="dxa"/>
          <w:bottom w:w="28" w:type="dxa"/>
          <w:right w:w="28" w:type="dxa"/>
        </w:tblCellMar>
      </w:tblPr>
      <w:tblGrid>
        <w:gridCol w:w="602"/>
        <w:gridCol w:w="529"/>
        <w:gridCol w:w="533"/>
        <w:gridCol w:w="109"/>
        <w:gridCol w:w="109"/>
        <w:gridCol w:w="109"/>
        <w:gridCol w:w="1880"/>
        <w:gridCol w:w="1373"/>
        <w:gridCol w:w="1386"/>
        <w:gridCol w:w="109"/>
        <w:gridCol w:w="109"/>
        <w:gridCol w:w="109"/>
        <w:gridCol w:w="1029"/>
        <w:gridCol w:w="943"/>
        <w:gridCol w:w="127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Key Applications</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white space infrastructure solutions delivered either as part of modular, factory-built solutions, including SkyBridge, or through a traditional field-built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Turnkey white space deployment, modular deployment, field-built fit-out, high-density and AI-ready environments, lifecycle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Infrastructure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TechFrame steel structures, conveyance systems, rack and cabinet support, cabinet docking, caging / enclosure systems, cable and fiber routing components and other modular infrastructure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White space structural platform, equipment support, organized power / cooling / network pathways, modular and field-built deployment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Thermal Management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Containment, airflow management and liquid-cooling-ready products integrated into white space infrastructure systems or sold separately.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Airflow optimization, thermal containment, liquid-cooling readiness, heat isolation and high-density deployment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Installation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Field installation, electrical fit-out, cabling, rack integration, commissioning, inspection, maintenance, reconfiguration and decommissioning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delivery, white space fit-up, commissioning, lifecycle services and reconfiguration support.</w:t>
            </w:r>
          </w:p>
        </w:tc>
      </w:tr>
      <w:tr>
        <w:trPr/>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Power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Branch circuit whips, remote power panels (“RPPs”), high-density remote power panels (“HD-RPPs”), power distribution units (“PDUs”), related monitoring technologies and adjacent upstream power distribution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delivery, monitoring, white space power distribution, factory-wired whips and integrated modular power solutions.</w:t>
            </w:r>
          </w:p>
        </w:tc>
      </w:tr>
    </w:tbl>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design, manufacture and install products and integrated solutions for mission-critical data center white space. Our portfolio spans two categories—Infrastructure Solutions and Power Products—which we sell separately or combine into a single, factory-built system. Infrastructure Solutions comprise our SkyBridge modular platform, TechFrame steel structures and conveyance, thermal management products (containment and liquid-cooling-ready systems) and installation and maintenance services. Power Products comprise our remote power panels (including high-density remote power panels), branch circuit whips, power distribution units and related monitoring and upstream distribution products. Customers increasingly buy these products together as a coordinated solution. Our core products and solutions are described below. </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Infrastructure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Modular Solutions—SkyBridge</w:t>
      </w:r>
      <w:r>
        <w:rPr>
          <w:rFonts w:ascii="Times New Roman;serif" w:hAnsi="Times New Roman;serif"/>
          <w:b w:val="false"/>
          <w:color w:val="000000"/>
          <w:sz w:val="20"/>
        </w:rPr>
        <w:t xml:space="preserve">. SkyBridge is our patent-pending, prefabricated modular platform for high-density data center white space. It combines structural support, power distribution, liquid-cooling manifolds, conveyance and containment into a single system that we design, manufacture and install, and it is built for sustained high-density GPU and AI workloads. By delivering the structural backbone and an energized power system together, SkyBridge enables turnkey, modular deployment across hyperscale and AI data halls. Each SkyBridge module is fabricated in the United States, bolted together without field welding and installed by our own service teams, and can be configured by width, height and layout to fit different footprints. It integrates UL-listed 1,200-amp remote power panels and factory-tested branch circuit whips, eliminating on-site electrical terminations and reducing coordination among trades—an approach we estimate can improve field-installation productivity by up to approximately 84% for certain scopes. SkyBridge is central to our modular strategy: as of June 2026, we had engaged three hyperscalers at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full-platform design level and deployed Accelevation-engineered systems for them. It is our primary means of shifting work from the field to the factory, deepening customer relationships and increasing our content per deployment.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Infrastructure Products—TechFrame Steel Structures and Conveyance</w:t>
      </w:r>
      <w:r>
        <w:rPr>
          <w:rFonts w:ascii="Times New Roman;serif" w:hAnsi="Times New Roman;serif"/>
          <w:b w:val="false"/>
          <w:color w:val="000000"/>
          <w:sz w:val="20"/>
        </w:rPr>
        <w:t>. TechFrame is a floor-supported structural system that combines conveyance, containment and cabinet docking with related steel structures, rack and cabinet supports and cable routing. It provides the structural platform for both modular and field-built white space, organizing power, cooling and network pathways. Its pre-engineered, bolt-together design deploys quickly without field welding, ships in manageable assemblies and can be configured by layout, support tier and finish, including for high-seismic areas. TechFrame is in production and an established source of revenue; because we fabricate it in-house, it supports shorter lead times and serves as the structural backbone for SkyBridge and our other modular assemblies.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Thermal Management Products—Containment and Liquid-Cooling-Ready Systems</w:t>
      </w:r>
      <w:r>
        <w:rPr>
          <w:rFonts w:ascii="Times New Roman;serif" w:hAnsi="Times New Roman;serif"/>
          <w:b w:val="false"/>
          <w:color w:val="000000"/>
          <w:sz w:val="20"/>
        </w:rPr>
        <w:t>. Our thermal management products—containment, airflow management and liquid-cooling-ready systems, including liquid-cooling manifolds—can be integrated into our infrastructure systems or sold separately. They optimize airflow, isolate heat through hot- and cold-aisle containment and support high-density, liquid-cooled deployments. Containment products are in production and an established source of revenue, while liquid-cooling-ready solutions are an area of active expansion as customer demand shifts toward higher-density, liquid-cooled architectures. These products increasingly ship as part of SkyBridge and our other modular systems, expanding our share of customers’ cooling scope.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Installation and Maintenance Services</w:t>
      </w:r>
      <w:r>
        <w:rPr>
          <w:rFonts w:ascii="Times New Roman;serif" w:hAnsi="Times New Roman;serif"/>
          <w:b w:val="false"/>
          <w:color w:val="000000"/>
          <w:sz w:val="20"/>
        </w:rPr>
        <w:t>. We self-perform installation, electrical fit-out, commissioning, maintenance, reconfiguration and decommissioning with our own field crews, including licensed electricians. This gives customers a single point of accountability from factory production through system energization and supports our solutions across the full life of a data hall. We bundle these services with our infrastructure solutions and power products, strengthening customer relationships and creating recurring lifecycle, retrofit and reconfiguration opportunities as our installed base grows.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Power Products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power products center on compact, high-density electrical distribution—principally remote power panels and branch circuit whips—and we are commercializing adjacent upstream products such as power distribution units and low-voltage distribution panels. These products may be sold separately or integrated into modular assemblies to speed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Remote Power Panels, Including High-Density Remote Power Panels (HD-RPPs)</w:t>
      </w:r>
      <w:r>
        <w:rPr>
          <w:rFonts w:ascii="Times New Roman;serif" w:hAnsi="Times New Roman;serif"/>
          <w:b w:val="false"/>
          <w:color w:val="000000"/>
          <w:sz w:val="20"/>
        </w:rPr>
        <w:t>. Our remote power panels are modular units, installed near the racks, that distribute branch-circuit power to racks and cabinets. The portfolio ranges from core panels rated 225 to 800 amps to a high-density panel designed for both conventional and AI-oriented rack densities and used in the most demanding environments, including hyperscale pods, AI and GPU compute rows, space-constrained retrofits and multi-tenant colocation. The high-density panel delivers 1,200 amps in a compact, UL-listed enclosure and is built to order at our U.S. facilities for each customer’s footprint, circuit count and breaker brand. A proprietary universal adapter accepts breakers from major manufacturers, and a top-mounted interface connects our custom branch circuit whips in a single action, eliminating field-built terminations. Our remote power panels are in production and generate standard-product revenue; the high-density panel is UL-listed and pre-tested, and DC-capable versions are on our roadmap. They anchor our white space power offering, increase our power content per data hall and are integrated into SkyBridge and other modular assemblies.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Branch Circuit Whips</w:t>
      </w:r>
      <w:r>
        <w:rPr>
          <w:rFonts w:ascii="Times New Roman;serif" w:hAnsi="Times New Roman;serif"/>
          <w:b w:val="false"/>
          <w:color w:val="000000"/>
          <w:sz w:val="20"/>
        </w:rPr>
        <w:t>. Branch circuit whips are factory-assembled power cables that provide the final connection from distribution panels to IT equipment and adapt to changing white space layouts in both new construction and reconfigurations. Each whip is UL-listed, factory-tested and built to project-specific requirements—length, wire gauge, conduit size, connector type and labeling—which speeds field installation and reduces the need for costly field testing. Produced in high volume at our U.S. facilities, whips are a meaningful source of standard-product revenue; they are frequently pre-installed on our high-</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density panels and built into SkyBridge assemblies, and often serve as an entry point to broader customer relationships.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Power Distribution Units (PDUs)</w:t>
      </w:r>
      <w:r>
        <w:rPr>
          <w:rFonts w:ascii="Times New Roman;serif" w:hAnsi="Times New Roman;serif"/>
          <w:b w:val="false"/>
          <w:color w:val="000000"/>
          <w:sz w:val="20"/>
        </w:rPr>
        <w:t>. Our power distribution unit is a transformer-based PDU, available in floor- and cabinet-mounted configurations, for environments that need high-capacity, reliable distribution. It steps a facility’s 480V supply down to the voltages IT equipment requires and distributes power to cabinet rows, and can also feed UPS systems, switchgear or primary panels. Offered in configurable arrangements with capacity up to 1500 kVA and integrated monitoring, the PDU is an adjacent, higher-value upstream product we are commercializing to expand selectively up the electrical distribution hierarchy. It extends our scope from white space power into row-level distribution, increases our content per megawatt and positions us earlier in the design cycle.</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Platform Differentiators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platform combines deeply embedded customer relationships, in-house engineering and design expertise, scaled U.S. manufacturing, modular and prefabricated delivery, a growing Power Products portfolio and nationwide field execution capabilities. By integrating these capabilities, we are able to shift substantial portions of traditionally field-built work into controlled manufacturing environments, reduce on-site labor demands, simplify coordination and support faster, more predictable deployment of complex data center infrastructure with greater customization and accountability.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Time to Market and Customer-Tailored Delivery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engage strategically across the data center ecosystem, including hyperscale operators, colocation providers, end users and general contractors. As of June 2026, we have engaged with three hyperscalers at the total platform design level and deployed Accelevation-engineered systems for those customers, helping inform future-state program designs that may be incorporated into customer technical standards and project specifications. These relationships provide insight into evolving technical requirements, project timelines and deployment priorities, and allow us to support customers from planning and specification through manufacturing, installation and commissioning.</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integrated delivery model provides a single point of accountability across a broader scope of products and services. Rather than requiring customers to coordinate multiple vendors across infrastructure, thermal management, power, monitoring, fabrication, logistics and on-site execution, we provide a unified platform designed to reduce handoffs, improve coordination and support faster deployment. Many of our customers’ programs span multiple years and involve recurring expansion phases, which we believe supports planning, capacity investment and disciplined execution, and puts us in an advantageous position to secure additional work.</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Engineering, Design and Customization Capabilities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engineering and design organization is a core competitive asset. We employed a growing team of more than 50 engineers and technical designers as of June 30, 2026, who have developed an extensive library of reference designs and deliver nearly 700 custom designs annually. Our capabilities span mechanical design, electrical engineering, structural analysis, thermal modeling and installation planning. We use advanced CAD/CAM systems, parametric design tools and digital engineering workflows to accelerate turnaround times while maintaining accuracy, manufacturability and execution discipline.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Data center infrastructure requirements are evolving rapidly, including increasing power density, higher thermal loads, broader adoption of liquid-cooled and hybrid architectures and continuous changes in chip architectures and related equipment. Our team is able to rapidly design and deliver solutions intended to meet these requirements, and our solutions-oriented approach supports customer outcomes focused on performance, reliability, scalability and speed of deployment. Because job sites and customer requirements change frequently, our short lead times, domestic manufacturing footprint and integrated engineering model allow us to respond to change orders and modify solutions during execution, reducing field modifications, rework and commissioning delays.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Scaled U.S. Manufacturing, Modularity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operate a scaled, domestic manufacturing platform designed to support large hyperscale and data center customers that require speed, flexibility and scale. Our manufacturing operations allow us to shorten supply chains, improve production coordination and shift substantial portions of traditionally field-built work into controlled manufacturing environments. We believe customers increasingly value suppliers that can grow with them across multiple sites, execute at scale and deliver domestically manufactured solutions on compressed timelines.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modular, factory-assembled approach is designed to reduce the amount of work required at the job site by moving more assembly activity into controlled manufacturing environments. For certain modular scopes, we estimate this approach can improve field installation productivity by up to approximately 84% compared with traditional field-built methods, thereby reducing field installation time from weeks to as few as eight days. By reducing on-site labor intensity, simplifying installation and limiting the number of trades and hand-offs required in the field, our modular approach can improve safety, enhance constructability and support more predictable deployment schedules. In parallel, we are investing directly in U.S. manufacturing talent through internal training academies, apprenticeship-style programs and on-the-job development that upskill teammates in welding, electrical work, manufacturing operations, field services and safety.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Portfolio Evolution Through Power Products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ability to introduce differentiated products, including DC-capable RPPs, PDUs and a proprietary power quality monitoring system, can increase power content per data hall, deepen customer engagement in design and specification decisions, enable more power content to be integrated into modular assemblies for rapid deployment and create additional lifecycle service, retrofit and reconfiguration opportunities as our installed base grows. Over time, while our primary focus remains data centers, we believe our Power Products platform may also support disciplined expansion into select adjacent mission-critical power infrastructure applications.</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Market Opportunity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operate in the large and rapidly growing data center infrastructure market. The convergence of cloud computing, AI and enterprise digitization is driving significant demand for new data center capacity, the expansion and upgrade of existing facilities and related investments in power distribution, modular infrastructure, thermal management, design and services. BCE forecasts that annual U.S. data center new IT load capacity, including both new construction and retrofit capacity, will grow from approximately 6.5 gigawatts in 2025 to approximately 14.8 gigawatts by 2030, representing an 18% CAGR.</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Across our offerings, BCE estimates our actionable TAM in data centers at $22.0 billion in 2025, with substantial growth projected through the end of the decade at an estimated 30% CAGR. In addition, in the future we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may decide to pursue adjacent applications for our Power Products portfolio across grid, industrial and other end markets, representing attractive additional potential growth vectors.</w:t>
      </w:r>
    </w:p>
    <w:p>
      <w:pPr>
        <w:pStyle w:val="TextBody"/>
        <w:bidi w:val="0"/>
        <w:spacing w:before="0" w:after="240"/>
        <w:jc w:val="center"/>
        <w:rPr>
          <w:bdr w:val="single" w:sz="8" w:space="36" w:color="000000"/>
        </w:rPr>
      </w:pPr>
      <w:r>
        <w:rPr>
          <w:bdr w:val="single" w:sz="8" w:space="36" w:color="000000"/>
        </w:rPr>
        <w:drawing>
          <wp:inline distT="0" distB="0" distL="0" distR="0">
            <wp:extent cx="5715000" cy="3209925"/>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5715000" cy="3209925"/>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Focusing on modular infrastructure solutions in the white space, we estimate the U.S. market at approximately $3.9 billion in 2025, growing at an approximately 35% CAGR to approximately $17.7 billion in 2030. Data center infrastructure has become increasingly critical as customers invest in higher-density compute environments, seek faster time-to-capacity and address rising power, cooling and resiliency requirements, driving adoption of modular and prefabricated infrastructure. We believe these dynamics are creating a sustained, multi-year demand environment for our offerings, with the following demand drivers being of particular relevance to our business: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Continued investment in new data center capacity</w:t>
      </w:r>
      <w:r>
        <w:rPr>
          <w:rFonts w:ascii="Times New Roman;serif" w:hAnsi="Times New Roman;serif"/>
          <w:b w:val="false"/>
          <w:color w:val="000000"/>
          <w:sz w:val="20"/>
          <w:bdr w:val="single" w:sz="8" w:space="36" w:color="000000"/>
        </w:rPr>
        <w:t>. Rapid growth in cloud computing, AI and broader digital workloads is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BCE estimates that hyperscalers will account for over 70% of U.S. new IT load additions from 2025 through 2030, more than doubling their equipment spend, across both self-built facilities and hyperscaler-related colocation deployments. As a result, suppliers that can meet hyperscaler requirements for scale, quality, customization, supply-chain reliability and delivery certainty are positioned to participate in a disproportionate share of future market growth. BCE further estimates that hyperscaler capital expenditures will exceed $1.0 trillion by the end of 2027, underscoring the scale of ongoing investment in data center capacity by our largest customers.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More infrastructure required per megawatt of capacity</w:t>
      </w:r>
      <w:r>
        <w:rPr>
          <w:rFonts w:ascii="Times New Roman;serif" w:hAnsi="Times New Roman;serif"/>
          <w:b w:val="false"/>
          <w:color w:val="000000"/>
          <w:sz w:val="20"/>
          <w:bdr w:val="single" w:sz="8" w:space="36" w:color="000000"/>
        </w:rPr>
        <w:t>. Data centers are becoming more power-intensive and technically complex. BCE indicates that enterprise and cloud applications often operate at 20 to 40 kilowatts per rack, while AI and high-performance computing applications are running at approximately 40 to 135 kilowatts per rack. BCE also notes that industry sources see rack densities potentially reaching 250+ kilowatts per rack by 2027 or 2028, 600+ kilowatts per rack by 2028 and, in niche cases, one megawatt per rack by 2031. Higher-density compute increases the amount and complexity of electrical distribution, cooling, containment, monitoring and supporting infrastructure required per megawatt of capacity.</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Increasing scale and coordination complexity of hyperscale developments.</w:t>
      </w:r>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AI-driven demand is producing data center developments of increasing scale and complexity. For example, campus-scale AI data center projects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such as the Abilene, Texas data center campus have involved over 5,000 workers on site at a given time, illustrating the scale of coordination, sequencing and scheduling required across trades, vendors and workstreams on modern hyperscale developments. We believe this increasing project scale amplifies the coordination burden and complexity tax that fragmented, multi-vendor delivery models impose on customers, and increases the value of our solutions that are designed to reduce complexity, provide single-source accountability and support the disciplined execution required to manage developments of this scale.</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Greater emphasis on speed, capacity and execution certainty</w:t>
      </w:r>
      <w:r>
        <w:rPr>
          <w:rFonts w:ascii="Times New Roman;serif" w:hAnsi="Times New Roman;serif"/>
          <w:b w:val="false"/>
          <w:color w:val="000000"/>
          <w:sz w:val="20"/>
          <w:bdr w:val="single" w:sz="8" w:space="36" w:color="000000"/>
        </w:rPr>
        <w:t>. As demand for AI and cloud infrastructure accelerates, customers are increasingly prioritizing speed-to-capacity, on-time delivery, available manufacturing capacity and supply-chain reliability, with BCE indicating that these factors have become more important than cost for certain hyperscale customers because delayed capacity can defer GPU deployment and related revenue generation. We estimate that these delays can cost customers approximately $1.0 million per megawatt of capacity per month, based on a hypothetical one gigawatt hyperscale AI deployment and data derived from third-party sources, underscoring the financial significance of these factors to our customer base. Although our solutions generally represent approximately 9-12% of total data center construction cost, based on company estimates, they are often installed on the critical path before customers can deploy revenue-generating IT equipment. Because our infrastructure must be installed before customers can energize and deploy revenue-generating compute capacity, delays in our scope can directly impact deployment schedules and time-to-revenue. As a result, operators are increasingly willing to pay premiums for suppliers that can reduce coordination risk, compress installation timelines and bring capacity online faster. We believe this dynamic increases the value of infrastructure providers that combine engineering support, manufacturing capacity, supply-chain reliability and field execution, supporting value-based procurement decisions, disciplined pricing and favorable margin capture for scaled suppliers that can deliver speed, quality and execution certainty.</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Increasing modularization and prefabrication</w:t>
      </w:r>
      <w:r>
        <w:rPr>
          <w:rFonts w:ascii="Times New Roman;serif" w:hAnsi="Times New Roman;serif"/>
          <w:b w:val="false"/>
          <w:color w:val="000000"/>
          <w:sz w:val="20"/>
          <w:bdr w:val="single" w:sz="8" w:space="36" w:color="000000"/>
        </w:rPr>
        <w:t xml:space="preserve">. Data center operators are increasingly adopting modular, prefabricated and factory-built infrastructure inside the white space to reduce field labor requirements, compress deployment timelines, improve safety and improve execution certainty. Remote locations, labor scarcity and extended lead times further reinforce the value of modular solutions for operators prioritizing speed to deployment. BCE estimates that modular solutions are currently used in approximately 70% of new data center builds and projects penetration to increase to approximately 85% by 2030. Within new construction, BCE expects a meaningful mix shift toward more integrated deployments, with end-to-end modular solutions increasing from approximately 15% of projects in 2025 to approximately 30% by 2030. Although retrofit deployments are more constrained by existing space, layout and electrical infrastructure, BCE expects end-to-end modular adoption in retrofits to continue increasing as the installed base expands and operators seek faster, more predictable upgrade paths. Modular solutions can command a substantial premium over equivalent component costs, reflecting the value of design, integration, safety and deployment speed, as customers are increasingly willing to pay more to accelerate time-to-capacity. Our modular solutions accounted for approximately $700.0 million of bookings for the nine month period since initial development in September 2025. For the three months ended March 31, 2026, our book-to-bill ratio was 1.9x. </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Increasing need for customized and engineered-to-order infrastructure</w:t>
      </w:r>
      <w:r>
        <w:rPr>
          <w:rFonts w:ascii="Times New Roman;serif" w:hAnsi="Times New Roman;serif"/>
          <w:b w:val="false"/>
          <w:color w:val="000000"/>
          <w:sz w:val="20"/>
          <w:bdr w:val="single" w:sz="8" w:space="36" w:color="000000"/>
        </w:rPr>
        <w:t>. Higher-density data centers, evolving power and cooling architectures and customer-specific design standards are increasing the need for customized white space infrastructure across both Infrastructure Solutions and Power Products. BCE estimates that many relevant data center power products are customized 40% or more of the time, with particularly high customization levels for power distribution units and power skids. Infrastructure Solutions are also increasingly customer- and site-specific, varying by cooling architecture, rack density, aisle and containment configuration, seismic and structural load requirements, cable pathway routing, material and finish specifications, compliance requirements, monitoring integration and deployment sequencing. We believe this trend favors suppliers with engineering depth, flexible domestic manufacturing capabilities, modular and prefabricated delivery expertise, field execution capabilities and the ability to support repeatable customization at scale across integrated structural, thermal, power, monitoring and services scopes.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Greater power and cooling complexity</w:t>
      </w:r>
      <w:r>
        <w:rPr>
          <w:rFonts w:ascii="Times New Roman;serif" w:hAnsi="Times New Roman;serif"/>
          <w:b w:val="false"/>
          <w:color w:val="000000"/>
          <w:sz w:val="20"/>
          <w:bdr w:val="single" w:sz="8" w:space="36" w:color="000000"/>
        </w:rPr>
        <w:t xml:space="preserve">. As AI and other high-density workloads increase rack-level power requirements, data center operators are rethinking the design of the data hall. Higher-density deployments require more electrical distribution infrastructure, more advanced cooling approaches and tighter coordination across power,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containment, structural infrastructure and field execution. Power products are one of the clearest beneficiaries of this shift. BCE estimates that AI-oriented deployments require roughly 2.5x the electrical distribution spend of non-AI deployments and that the TAM for power products deployed in data centers will grow from approximately $10.4 billion in 2025 to approximately $35.5 billion by 2030. Within power products, BCE estimates that the TAM for PDUs will grow from approximately $1.8 billion in 2025 to approximately $5.5 billion by 2030, the TAM for automatic transfer switches will grow from approximately $1.7 billion in 2025 to approximately $4.0 billion by 2030, and the TAM for switchboards will grow from approximately $3.1 billion in 2025 to approximately $6.6 billion by 2030. Power architecture is also becoming a more important design variable, with BCE estimating that approximately 25% of new high-density deployments in 2025 evaluated or adopted AC/DC or hybrid power architectures, with penetration potentially reaching approximately 75% by 2030. As customers evaluate these architectures, power distribution, monitoring, branch circuiting, modular integration and commissioning decisions become more complex and more closely tied to the overall white space design. Higher-density environments are also accelerating demand for more advanced cooling infrastructure. BCE identifies liquid cooling as a meaningful greenfield equipment opportunity across high-density data center builds and identifies coolant distribution units and secondary fluid networks as among the fastest-growing product categories in the data center infrastructure market. We believe these shifts directly reinforce the value of Accelevation’s integrated platform. As power, cooling, containment and white space layouts become more interdependent, customers increasingly need partners that can coordinate design, manufacturing and installation across multiple infrastructure systems. This complexity also expands the opportunity for related services, including design, installation, retrofit and deployment support, which BCE expects to grow from approximately $7.8 billion in 2025 to approximately $27.1 billion in 2030, representing a CAGR of more than 25%.</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Growing refresh, retrofit and replacement demand</w:t>
      </w:r>
      <w:r>
        <w:rPr>
          <w:rFonts w:ascii="Times New Roman;serif" w:hAnsi="Times New Roman;serif"/>
          <w:b w:val="false"/>
          <w:color w:val="000000"/>
          <w:sz w:val="20"/>
          <w:bdr w:val="single" w:sz="8" w:space="36" w:color="000000"/>
        </w:rPr>
        <w:t>. The expanding installed base of data centers is creating a growing opportunity for refresh, refurbishment and retrofit activity. As server and GPU architectures evolve, customers need to modify white space layouts, power distribution and thermal infrastructure in shorter cycles than historical data center refresh models. BCE estimates that certain chip and server platforms may be replaced on approximately three-to-five-year cycles, and that new GPU architectures may require changes in power and thermal architecture. Where a customer rips and replaces server infrastructure, we believe the required reconfiguration of white space infrastructure can represent a revenue opportunity similar in scope to portions of the initial build.</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Adjacent power infrastructure markets</w:t>
      </w:r>
      <w:r>
        <w:rPr>
          <w:rFonts w:ascii="Times New Roman;serif" w:hAnsi="Times New Roman;serif"/>
          <w:b w:val="false"/>
          <w:color w:val="000000"/>
          <w:sz w:val="20"/>
          <w:bdr w:val="single" w:sz="8" w:space="36" w:color="000000"/>
        </w:rPr>
        <w:t>. In addition to data centers, relevant power infrastructure markets provide an expansion opportunity for our Power Products portfolio. BCE estimates that adjacent markets across grid, industrial and other mission-critical/commercial applications, including financial institutions, represent an incremental TAM of approximately $13.3 billion as of 2025, which is forecasted to grow to approximately $21.2 billion by 2030, representing an approximately 10% CAGR. While data centers represent our primary growth opportunity, these adjacent markets provide additional secular demand drivers tied to electrification, grid modernization, resiliency and the need for reliable power infrastructure.</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Competitive Strengths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Accelevation’s platform is differentiated by a set of strengths that support rapid, reliable delivery of mission-critical data center infrastructure.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Experienced, Founder-Led Management Team and Entrepreneurial Culture Focused on Speed, Execution and Fearless Innovation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management team has the experience required to scale an integrated manufacturing and services platform serving mission-critical infrastructure markets. Our founder-led team is supported by experienced executives across operations, delivery, commercial leadership, finance and Power Products. We intentionally hire builders, maintain a flat organization and emphasize speed, entrepreneurial ownership and rapid problem solving. We believe our leadership provides the ability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Execute with founder-led vision and operating discipline.</w:t>
      </w:r>
      <w:r>
        <w:rPr>
          <w:color w:val="000000"/>
        </w:rPr>
        <w:t xml:space="preserve"> </w:t>
      </w:r>
      <w:r>
        <w:rPr>
          <w:rFonts w:ascii="Times New Roman;serif" w:hAnsi="Times New Roman;serif"/>
          <w:b w:val="false"/>
          <w:color w:val="000000"/>
          <w:sz w:val="20"/>
        </w:rPr>
        <w:t xml:space="preserve">Our co-founder and Chief Executive Officer, Michael Rubiera, has led Accelevation since its founding in 2017 and has overseen the company’s growth from less than $3.0 million in revenue in 2021 to $447.8 million in 2025. He is supported by an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experienced management team with deep expertise across finance, operations, engineering, commercial execution and project delivery.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Commercialize and scale new offerings.</w:t>
      </w:r>
      <w:r>
        <w:rPr>
          <w:color w:val="000000"/>
        </w:rPr>
        <w:t xml:space="preserve"> </w:t>
      </w:r>
      <w:r>
        <w:rPr>
          <w:rFonts w:ascii="Times New Roman;serif" w:hAnsi="Times New Roman;serif"/>
          <w:b w:val="false"/>
          <w:color w:val="000000"/>
          <w:sz w:val="20"/>
        </w:rPr>
        <w:t>Our leadership team has demonstrated the ability to bring new products and capabilities to market as customer requirements evolve, including standing up new business lines, obtaining certifications and converting prototypes into revenue-generating products on compressed timelines. The majority of our current backlog is driven by new products launched since mid-2025. These new products are primarily our modular solutions, including SkyBridge, and our Power Products portfolio, including RPPs, HD-RPPs and PDUs. We were the first to market a 1200 amp RPP, which took approximately six months to develop from concept to prototype. The business also has a robust pipeline of new products scheduled to launch in late 2026 through mid-2027 across power distribution, modular infrastructure and thermal management product 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Manage complexity across an integrated platform.</w:t>
      </w:r>
      <w:r>
        <w:rPr>
          <w:color w:val="000000"/>
        </w:rPr>
        <w:t xml:space="preserve"> </w:t>
      </w:r>
      <w:r>
        <w:rPr>
          <w:rFonts w:ascii="Times New Roman;serif" w:hAnsi="Times New Roman;serif"/>
          <w:b w:val="false"/>
          <w:color w:val="000000"/>
          <w:sz w:val="20"/>
        </w:rPr>
        <w:t>Scaling a design-manufacture-install platform requires coordination across engineering, manufacturing, supply chain and field execution, and we believe our leadership team is organized to manage this complexity effectively.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Use selective acquisitions to add capabilities.</w:t>
      </w:r>
      <w:r>
        <w:rPr>
          <w:color w:val="000000"/>
        </w:rPr>
        <w:t xml:space="preserve"> </w:t>
      </w:r>
      <w:r>
        <w:rPr>
          <w:rFonts w:ascii="Times New Roman;serif" w:hAnsi="Times New Roman;serif"/>
          <w:b w:val="false"/>
          <w:color w:val="000000"/>
          <w:sz w:val="20"/>
        </w:rPr>
        <w:t>Since 2023, we have completed strategic acquisitions, including Aura Energy in January 2025 for total consideration of $18.7 million and SteelPro in October 2025 for total consideration of $43.5 million, to expand manufacturing capacity, add technical capabilities and accelerate our organic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Integrate acquired capabilities into the broader platform.</w:t>
      </w:r>
      <w:r>
        <w:rPr>
          <w:color w:val="000000"/>
        </w:rPr>
        <w:t xml:space="preserve"> </w:t>
      </w:r>
      <w:r>
        <w:rPr>
          <w:rFonts w:ascii="Times New Roman;serif" w:hAnsi="Times New Roman;serif"/>
          <w:b w:val="false"/>
          <w:color w:val="000000"/>
          <w:sz w:val="20"/>
        </w:rPr>
        <w:t>We believe our management team is well-positioned to integrate acquired businesses, align them with our operating model and translate those capabilities into broader commercial and execution benefits. We generally prefer to build capabilities organically when doing so can meet customer timelines and use acquisitions selectively to add intellectual property, talent, capacity or a foundation that allows us to move faster.</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Entrenched Customer Relationships, Go-to-Market Reach and Healthy Pipeline Visibility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durable, entrenched customer relationships and visibility into future demand provide us with important competitive advantages in mission-critical data center markets. Substantially all of our revenue is derived from data center customers, and we serve many of the world’s most demanding hyperscale operators, leading developers, colocation providers and other large-scale participants. These customers typically require rapid innovation, large-scale capacity, deep technical engagement, direct access to decision-makers and high execution certainty, and we believe our ability to win work from them demonstrates the differentiation of our platform.</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go-to-market model is supported by relationships across the data center ecosystem, including hyperscale operators, colocation providers, end users and general contractors. We do not rely solely on one channel to market. Instead, our customer engagement spans operators, end users, colocation providers and construction partners, allowing us to support customer needs from planning and specification through manufacturing, installation and commissioning. We believe this customer position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multi-year visibility through order book, commitments and pipeline.</w:t>
      </w:r>
      <w:r>
        <w:rPr>
          <w:color w:val="000000"/>
        </w:rPr>
        <w:t xml:space="preserve"> </w:t>
      </w:r>
      <w:r>
        <w:rPr>
          <w:rFonts w:ascii="Times New Roman;serif" w:hAnsi="Times New Roman;serif"/>
          <w:b w:val="false"/>
          <w:color w:val="000000"/>
          <w:sz w:val="20"/>
        </w:rPr>
        <w:t>As of March 31, 2026, we had approximately $650.4 million of backlog, supplemented by a healthy pipeline significantly tied to large hyperscale operators and colocation providers. Many of these programs span multiple years and involve recurring expansion phases, which we believe supports planning, capacity investment and disciplined execution.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revenue per customer and expand scope across offerings.</w:t>
      </w:r>
      <w:r>
        <w:rPr>
          <w:color w:val="000000"/>
        </w:rPr>
        <w:t xml:space="preserve"> </w:t>
      </w:r>
      <w:r>
        <w:rPr>
          <w:rFonts w:ascii="Times New Roman;serif" w:hAnsi="Times New Roman;serif"/>
          <w:b w:val="false"/>
          <w:color w:val="000000"/>
          <w:sz w:val="20"/>
        </w:rPr>
        <w:t>Average revenue per customer increased from approximately $0.7 million in 2023 to approximately $3.9 million in 2025, demonstrating strong scope expansion.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across sites and programs.</w:t>
      </w:r>
      <w:r>
        <w:rPr>
          <w:color w:val="000000"/>
        </w:rPr>
        <w:t xml:space="preserve"> </w:t>
      </w:r>
      <w:r>
        <w:rPr>
          <w:rFonts w:ascii="Times New Roman;serif" w:hAnsi="Times New Roman;serif"/>
          <w:b w:val="false"/>
          <w:color w:val="000000"/>
          <w:sz w:val="20"/>
        </w:rPr>
        <w:t>We work with major hyperscale operators and believe consistent execution, direct engagement, speed and an expanding product portfolio enable us to extend relationships across additional customer sites and multi-site programs.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Benefit from vendor consolidation trends.</w:t>
      </w:r>
      <w:r>
        <w:rPr>
          <w:color w:val="000000"/>
        </w:rPr>
        <w:t xml:space="preserve"> </w:t>
      </w:r>
      <w:r>
        <w:rPr>
          <w:rFonts w:ascii="Times New Roman;serif" w:hAnsi="Times New Roman;serif"/>
          <w:b w:val="false"/>
          <w:color w:val="000000"/>
          <w:sz w:val="20"/>
        </w:rPr>
        <w:t>Hyperscale operators are increasingly concentrating spend with fewer, larger infrastructure partners that can offer single-source accountability, scaled manufacturing capacity, nationwide installation capabilities and the balance sheet required to support working capital and bonding needs across multi-site, multi-year programs. As projects grow larger, customers may require suppliers to bid on an entire building, multiple buildings or broader campus scope, which naturally reduces the number of eligible suppliers. On certain large gigawatt-scale campus buildouts, we increasingly compete in limited bidder sets as smaller players often lack the manufacturing capacity, working capital or organizational depth required to execute at that scale.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Vertically Integrated, Customized Solutions Designed for Next-Generation Infrastructure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provide a differentiated, end-to-end solution that integrates the design, manufacturing and installation of Infrastructure Solutions and Power Products under a single operating platform.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Data center infrastructure requirements are evolving rapidly, including increasing power density, higher thermal loads, broader adoption of liquid-cooled and hybrid architectures and continuous changes in chip architectures and related equipment. We design and deliver solutions intended to meet these requirements, and our solutions-oriented approach supports customer outcomes focused on performance, reliability, scalability and speed of deployment. Our patent-pending SkyBridge platform and related customer-specific modular systems exemplify this approach by combining structure, containment, thermal management readiness and power distribution into a pre-engineered system designed to be manufactured and deployed as a single coordinated platform.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the combination of integrated capabilities, operating processes and skilled resources required to deliver consistently across large, multi-site deployments is difficult to replicate. Our vertically integrated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single-source accountability across products and services.</w:t>
      </w:r>
      <w:r>
        <w:rPr>
          <w:color w:val="000000"/>
        </w:rPr>
        <w:t xml:space="preserve"> </w:t>
      </w:r>
      <w:r>
        <w:rPr>
          <w:rFonts w:ascii="Times New Roman;serif" w:hAnsi="Times New Roman;serif"/>
          <w:b w:val="false"/>
          <w:color w:val="000000"/>
          <w:sz w:val="20"/>
        </w:rPr>
        <w:t>Customers can procure a broader scope from one provider rather than coordinating across multiple vendors for infrastructure, thermal management, power, monitoring, fabrication, logistics and on-site execution. We believe this reduces potential points of failure, simplifies accountability and creates meaningful switching costs for customers who would otherwise need to interface with multiple vendors across connected scopes of work.</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Compress delivery timelines.</w:t>
      </w:r>
      <w:r>
        <w:rPr>
          <w:color w:val="000000"/>
        </w:rPr>
        <w:t xml:space="preserve"> </w:t>
      </w:r>
      <w:r>
        <w:rPr>
          <w:rFonts w:ascii="Times New Roman;serif" w:hAnsi="Times New Roman;serif"/>
          <w:b w:val="false"/>
          <w:color w:val="000000"/>
          <w:sz w:val="20"/>
        </w:rPr>
        <w:t>By controlling design, component fabrication, manufacturing and installation in-house, and by buying and converting many readily available raw materials directly, we believe we reduce coordination delays and hand-off friction inherent in a multi-vendor approach, enabling customers to bring data center capacity online faster.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Deliver customized solutions for site-specific and customer-specific requirements.</w:t>
      </w:r>
      <w:r>
        <w:rPr>
          <w:color w:val="000000"/>
        </w:rPr>
        <w:t xml:space="preserve"> </w:t>
      </w:r>
      <w:r>
        <w:rPr>
          <w:rFonts w:ascii="Times New Roman;serif" w:hAnsi="Times New Roman;serif"/>
          <w:b w:val="false"/>
          <w:color w:val="000000"/>
          <w:sz w:val="20"/>
        </w:rPr>
        <w:t>We work with customers to tailor solutions to the physical and operational constraints of each data hall environment, including customer architecture, layout, access, deployment sequencing, thermal approach, power topology and commissioning requirements. Our role as a single-source provider positions us as a strategic partner rather than a commodity supplier.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Design with next-generation requirements in mind.</w:t>
      </w:r>
      <w:r>
        <w:rPr>
          <w:color w:val="000000"/>
        </w:rPr>
        <w:t xml:space="preserve"> </w:t>
      </w:r>
      <w:r>
        <w:rPr>
          <w:rFonts w:ascii="Times New Roman;serif" w:hAnsi="Times New Roman;serif"/>
          <w:b w:val="false"/>
          <w:color w:val="000000"/>
          <w:sz w:val="20"/>
        </w:rPr>
        <w:t>Our products and configurations are intended to support evolving infrastructure architectures, including higher-density deployments, airflow-to-liquid thermal transitions, changing chip architectures and changing power distribution approaches associated with AI-oriented data center environments. Because job sites and customer requirements change frequently, our domestic manufacturing footprint, engineering capabilities and integrated operating model allow us to respond to changes during execution, reducing field modifications, rework and commissioning delays.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modular, configurable deployments with reduced on-site labor and improved safety.</w:t>
      </w:r>
      <w:r>
        <w:rPr>
          <w:color w:val="000000"/>
        </w:rPr>
        <w:t xml:space="preserve"> </w:t>
      </w:r>
      <w:r>
        <w:rPr>
          <w:rFonts w:ascii="Times New Roman;serif" w:hAnsi="Times New Roman;serif"/>
          <w:b w:val="false"/>
          <w:color w:val="000000"/>
          <w:sz w:val="20"/>
        </w:rPr>
        <w:t>Modular product architecture allows customers to tailor infrastructure layouts, power density and cooling configurations using standardized components that can be prefabricated, factory-assembled and, in many cases, delivered with integrated power content, shortening installation timelines and shifting labor from the field to controlled manufacturing environments.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Accelerate innovation through integrated feedback loops.</w:t>
      </w:r>
      <w:r>
        <w:rPr>
          <w:color w:val="000000"/>
        </w:rPr>
        <w:t xml:space="preserve"> </w:t>
      </w:r>
      <w:r>
        <w:rPr>
          <w:rFonts w:ascii="Times New Roman;serif" w:hAnsi="Times New Roman;serif"/>
          <w:b w:val="false"/>
          <w:color w:val="000000"/>
          <w:sz w:val="20"/>
        </w:rPr>
        <w:t>Close coordination between engineering, manufacturing, field teams, customers and end users allows us to incorporate lessons learned, improve designs and introduce enhancements more efficiently than models that depend on third parties. We believe our platform enables us to translate internally developed and acquired capabilities into commercial product offerings on a compressed timeline, supporting customer responsiveness and expanding our addressable opportunity set.</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Scaled U.S. Manufacturing Capabilities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manufacturing operations are purpose-built for hyperscale customers that require speed, flexibility and scale that most legacy manufacturers are not well suited to serve.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with capital expenditures remaining below 3% of revenue for the year ended December 31, 2025. We continue to add capacity on a regular cadence to stay ahead of customer demand, supporting lead times that we believe compare favorably to industry norms across our principal product offerings. We complement this footprint with ongoing investments in training, safety, workforce quality, robotics and automation. We believe our manufacturing scale and operating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accelerated customer build schedules.</w:t>
      </w:r>
      <w:r>
        <w:rPr>
          <w:color w:val="000000"/>
        </w:rPr>
        <w:t xml:space="preserve"> </w:t>
      </w:r>
      <w:r>
        <w:rPr>
          <w:rFonts w:ascii="Times New Roman;serif" w:hAnsi="Times New Roman;serif"/>
          <w:b w:val="false"/>
          <w:color w:val="000000"/>
          <w:sz w:val="20"/>
        </w:rPr>
        <w:t>Our domestic manufacturing base reduces reliance on third-party, offshore manufacturing capacity and helps us align production with customer timelines.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throughput while maintaining flexibility.</w:t>
      </w:r>
      <w:r>
        <w:rPr>
          <w:color w:val="000000"/>
        </w:rPr>
        <w:t xml:space="preserve"> </w:t>
      </w:r>
      <w:r>
        <w:rPr>
          <w:rFonts w:ascii="Times New Roman;serif" w:hAnsi="Times New Roman;serif"/>
          <w:b w:val="false"/>
          <w:color w:val="000000"/>
          <w:sz w:val="20"/>
        </w:rPr>
        <w:t>Our manufacturing operations are intended to support scalable production across multiple product lines, including the ability to add capacity and adjust production mix in response to customer demand and evolving product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Leverage the Accelevation Academy to develop skilled labor.</w:t>
      </w:r>
      <w:r>
        <w:rPr>
          <w:color w:val="000000"/>
        </w:rPr>
        <w:t xml:space="preserve"> </w:t>
      </w:r>
      <w:r>
        <w:rPr>
          <w:rFonts w:ascii="Times New Roman;serif" w:hAnsi="Times New Roman;serif"/>
          <w:b w:val="false"/>
          <w:color w:val="000000"/>
          <w:sz w:val="20"/>
        </w:rPr>
        <w:t>Launched in early 2026, the Accelevation Academy is a structured, paid, in-house training program focused on building skills across welding, manufacturing, field installation and electrical. The creation of the Accelevation Academy represents a fundamental commitment to both our people and our communities and helps ensure that we are creating the skilled-trade workforce needed to support our future growth.</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a skilled, safety-oriented workforce.</w:t>
      </w:r>
      <w:r>
        <w:rPr>
          <w:color w:val="000000"/>
        </w:rPr>
        <w:t xml:space="preserve"> </w:t>
      </w:r>
      <w:r>
        <w:rPr>
          <w:rFonts w:ascii="Times New Roman;serif" w:hAnsi="Times New Roman;serif"/>
          <w:b w:val="false"/>
          <w:color w:val="000000"/>
          <w:sz w:val="20"/>
        </w:rPr>
        <w:t>We support our labor force through above-market compensation, incentive structures, meaningful internal training investment and a safety-focused culture, which we believe strengthens execution and supports efficient scaling. We currently have more than 800 field services employees, compared with approximately 140 at year-end 2024. Electricians represented approximately 46% of our field service workforce as of June 30, 2026.</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Shift labor from field to factory through prefabrication.</w:t>
      </w:r>
      <w:r>
        <w:rPr>
          <w:color w:val="000000"/>
        </w:rPr>
        <w:t xml:space="preserve"> </w:t>
      </w:r>
      <w:r>
        <w:rPr>
          <w:rFonts w:ascii="Times New Roman;serif" w:hAnsi="Times New Roman;serif"/>
          <w:b w:val="false"/>
          <w:color w:val="000000"/>
          <w:sz w:val="20"/>
        </w:rPr>
        <w:t>Greater use of factory-built assemblies increases quality control, reduces on-site labor requirements, improves safety, lowers field-labor cost exposure and supports more predictable delivery and installation outcomes.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Growing Share of Power Products and New Product Introductions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expanded our Power Products portfolio as part of a strategy to deepen our leadership in white space power distribution and selectively expand into broader upstream power distribution categories. We believe this can increase revenue per project, expand scope per megawatt, improve margin capture and embed us earlier in the design and specification cycle. Speed is critical in this category, particularly as customers face long lead times and increasing power complexity in AI-oriented deployments. We believe our power strategy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customer spend and expand our influence in the design cycle.</w:t>
      </w:r>
      <w:r>
        <w:rPr>
          <w:color w:val="000000"/>
        </w:rPr>
        <w:t xml:space="preserve"> </w:t>
      </w:r>
      <w:r>
        <w:rPr>
          <w:rFonts w:ascii="Times New Roman;serif" w:hAnsi="Times New Roman;serif"/>
          <w:b w:val="false"/>
          <w:color w:val="000000"/>
          <w:sz w:val="20"/>
        </w:rPr>
        <w:t>Power Products expand our scope in customer deployments, can pull us earlier into specification decisions, increase planning and revenue visibility and provide opportunities to deliver broader integrated solutions alongside modular infrastructure, installation and start-up services.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Offer differentiated products for high-density environments.</w:t>
      </w:r>
      <w:r>
        <w:rPr>
          <w:color w:val="000000"/>
        </w:rPr>
        <w:t xml:space="preserve"> </w:t>
      </w:r>
      <w:r>
        <w:rPr>
          <w:rFonts w:ascii="Times New Roman;serif" w:hAnsi="Times New Roman;serif"/>
          <w:b w:val="false"/>
          <w:color w:val="000000"/>
          <w:sz w:val="20"/>
        </w:rPr>
        <w:t>Our current Power Products portfolio is anchored by high density compact electrical distribution: RPP platforms and branch circuit whips, with adjacent upstream offerings such as PDUs and low voltage distribution panels being commercialized over time. Our Core RPP is a modular electrical distribution solution with current ratings from 225 to 800 amps. Our High Density RPP is engineered for standard and AI-oriented rack densities and delivers 1,200 amps of distribution capacity in a compact footprint. It is engineered with a top-mounted connection interface that accepts our custom-sized branch circuit whips through a single mating motion, eliminating field-built terminations. Many of these products can be integrated into modular assemblies or otherwise configured for rapid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flexible and technically advanced solutions.</w:t>
      </w:r>
      <w:r>
        <w:rPr>
          <w:color w:val="000000"/>
        </w:rPr>
        <w:t xml:space="preserve"> </w:t>
      </w:r>
      <w:r>
        <w:rPr>
          <w:rFonts w:ascii="Times New Roman;serif" w:hAnsi="Times New Roman;serif"/>
          <w:b w:val="false"/>
          <w:color w:val="000000"/>
          <w:sz w:val="20"/>
        </w:rPr>
        <w:t>Our High Density RPP is Underwriters Laboratories (“UL”)-listed and pre-tested and features a universal panel adapter that accepts breakers from major manufacturers, supporting supply-chain flexibility and shorter lead times. Our branch circuit whips are UL-listed, pre-tested and custom assembled to project-specific length, wire gauge, conduit size and labeling specifications to facilitate faster field identification and installation. Our branch circuit whips generated approximately $71.0 million of revenue in 2025.</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upstream beginning in 2026+ into adjacent, higher-value offerings.</w:t>
      </w:r>
      <w:r>
        <w:rPr>
          <w:color w:val="000000"/>
        </w:rPr>
        <w:t xml:space="preserve"> </w:t>
      </w:r>
      <w:r>
        <w:rPr>
          <w:rFonts w:ascii="Times New Roman;serif" w:hAnsi="Times New Roman;serif"/>
          <w:b w:val="false"/>
          <w:color w:val="000000"/>
          <w:sz w:val="20"/>
        </w:rPr>
        <w:t>Our roadmap begins with downstream white space power content and extends selectively upstream into adjacent higher-amperage distribution categories. We believe this progression can position us earlier in customer design cycles, increase dollar content per megawatt and create pull-through opportunities for the broader power portfolio.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Improve lead times and project control through internal fabrication and sourcing.</w:t>
      </w:r>
      <w:r>
        <w:rPr>
          <w:color w:val="000000"/>
        </w:rPr>
        <w:t xml:space="preserve"> </w:t>
      </w:r>
      <w:r>
        <w:rPr>
          <w:rFonts w:ascii="Times New Roman;serif" w:hAnsi="Times New Roman;serif"/>
          <w:b w:val="false"/>
          <w:color w:val="000000"/>
          <w:sz w:val="20"/>
        </w:rPr>
        <w:t>We internally fabricate a growing share of components and assemblies that are often externally sourced and have invested meaningfully in vertical integration, which enhances quality control, delivery speed, supply-chain resilience and coordination across projects.</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Challenges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business and industry are subject to a range of significant challenges and risks that can materially affect our business, financial condition and results of operations. Although we operate in a large and rapidly expanding market, a substantial portion of our revenue is derived from a relatively small number of large-scale hyperscale and colocation data center customers. This concentration makes us particularly sensitive to changes in the pace and scale of our customers’ data center construction and capital expenditure programs. In addition, the increasing scale and technological complexity of hyperscale developments presents ongoing development, management and execution challenges to keep pace with our customers as they continue to scale alongside the rapid growth in their industry.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also face challenges from intense and increasing competition from larger and highly capitalized data center infrastructure providers, as well as smaller, regional and niche specialists, and we may be unable to compete effectively on speed-to-capacity, on-time delivery, customization, integration and price. The increasing complexity of our business and the solutions we offer as we continue to scale rapidly presents ongoing challenges, including difficulties integrating acquisitions with our current operations, hiring and maintaining sufficient numbers of employees and keeping pace with technological advancements in our industry. Rapid scaling of our operations requires significant investment in workforce development, operating infrastructure and cross-functional coordination, and any failures in these areas could increase our costs and materially adversely affect our financial results. Our business is also exposed to broader economic and geopolitical uncertainties, including changes in demand for data center infrastructure and related products, tighter financing conditions, supply chain challenges and inflationary pressures affecting the price and availability of raw materials essential to our operations.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Any number of these challenges, and others, could have a negative impact on our business, financial condition and results of operations. For a discussion of the challenges, risks and limitations that could harm our business and prospects, see “Forward-Looking Statements,” “Risk Factors” and “Management’s Discussion and Analysis of Financial Condition and Results of Operations” included elsewhere in this prospectus.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Indebtedness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we invest in capacity, workforce and product development to support growth in our product offerings and business, we have incurred indebtedness for purposes of working capital and capital expenditures, and may incur additional indebtedness in the future. As of June 30, 2026, our total outstanding borrowings consisted of approximately $651.5 million under our Term Loan Facility and no outstanding borrowings under our Revolving Credit Facility. As of June 30, 2026, the weighted average interest rate on borrowings under our Term Loan Facility was approximately 8.772%.</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Most recently, on June 25, 2026, we entered into the Fourth Amendment to the Credit Agreement, providing for $346.0 million of incremental term loans and $10.0 million of additional delayed draw term loan commitments, the proceeds of which were used primarily to fund a distribution to certain members and to pay related transaction expenses. We intend to use a portion of the net proceeds from this offering to repay approximately $             million of outstanding borrowings under our Credit Agreement. All obligations under the Credit Agreement are guaranteed by Accelevation Intermediate LLC, Accelevation Buyer LLC, and certain other parent guarantors, as well as certain of Holdings LLC’s existing and future direct and indirect wholly owned domestic subsidiaries, and are secured by first-priority security interests in substantially all of Holdings LLC’s and the guarantors’ assets. The Credit Agreement also includes customary representations and warranties, affirmative covenants and negative covenants that could restrict Holdings LLC’s ability to take certain actions, subject to certain exceptions set forth in the Credit Agreement.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historically relied on debt financing to fund certain of our operations, capacity expansion and growth, and may continue to rely on such financing in the future. For a discussion of the risks associated with our indebtedness, see “Risk Factors—Financial and Tax Risks—Our indebtedness and financing needs could limit our operational flexibility and increase our vulnerability to adverse business conditions” and “Description of Certain Indebtedness” included elsewhere in this prospectus.</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Growth Strategies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developed the following strategies to continue to grow our revenues and improve our profitability: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Expand Infrastructure Solutions Through Modular and Prefabricated Delivery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modularization and prefabrication are among the clearest ways to help customers accelerate deployment in the latter stages of data center development. Our strategy is to expand our modular solutions offering, led by SkyBridge and customer-specific modular systems, and use factory assembly to win new programs and larger scopes where speed, safety, labor availability and schedule certainty are prioritized. Unlike modularity outside the building shell, which is more established, our focus is on applying modularity inside the data hall white space. Key elements of this strategy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throughput of modular assemblies and related prefabricated infrastructure across our manufacturing lines;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shifting additional work from the field to the factory, including power and thermal content where feasible;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repeatable modular designs and customer-specific variants to support multi-site rollouts, remote locations and faster deployment across hyperscale programs.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Deepen White Space Power Distribution Leadership and Expand Upstream to Capture Long Lead Time Demand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 central element of our growth strategy is to deepen our position in white space power while expanding selectively upstream into broader distribution categories. We believe this can increase wallet share, improve mix, serve markets characterized by long lead times and rising technical requirements and embed us earlier in design and specification cycles.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leadership in high-density, AI-optimized RPPs, branch circuit whips and DC-capable RPPs;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commercializing PDUs and other adjacent higher-amperage distribution offerings over time, without losing focus on our current white space power opportunity;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using internal fabrication, sourcing and modular integration to improve speed, quality control and delivery performance;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Power Products with Infrastructure Solutions to deepen customer entrenchment and expand lifecycle service opportunities.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Leverage Power Products Platform into Adjacent End Markets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expanding Power Products platform is creating opportunities to serve select applications in the broader commercial, industrial, government, grid, solar and institutional electrical infrastructure market. Our approach to this opportunity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 on our in-house Power Products capabilities, including RPPs, PDUs and related upstream distribution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existing manufacturing, engineering and supply-chain infrastructure to address customer needs in adjacent markets;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pursue any such expansion in a disciplined manner while maintaining our primary focus on supporting data center customers.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Thermal and Liquid Cooling-Ready Capabilities to Increase Scope and Content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adoption of liquid-cooled architectures in high-density, AI-oriented data centers is increasing the importance of coordinated thermal infrastructure within the white space. Our thermal capabilities have historically focused on airflow and containment, but we expect customer demand to move increasingly toward liquid cooling-ready solutions. Certain thermal products may be sold on a standalone basis, but a significant portion of our thermal content is integrated into our factory-built modular infrastructure solutions. We believe this can increase content per deployment, improve coordination across design and installation and position us to capture a greater share of cooling-related scope.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thermal products from airflow and containment toward liquid cooling-ready solutions and adjacent thermal categories;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thermal management features, monitoring components and sensors into SkyBridge and other prefabricated modular systems to enable factory-built, high-density deployments;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installation, testing, commissioning support, inspection and modification capabilities for thermal systems as part of our services offering;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supporting higher-density deployments by delivering integrated solutions across power, thermal management and structural infrastructure.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Deepen Relationships and Increase Wallet Share with Hyperscalers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Significant growth opportunities exist within our existing customer base as hyperscalers and other large data center customers expand footprint, increase power density and replicate deployment patterns across multiple sites. Many of these customers historically work with much larger suppliers, and we believe our ability to serve them demonstrates the differentiation of our speed, customization and execution model. Our strategy is to increase the number and type of products and services we provide to each customer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scope across Infrastructure Solutions and Power Products, particularly through modular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increasing average project size by delivering more integrated solutions under a single contract; and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engaging early in white space planning and fit-out design, often 12 months before larger campus go-live dates, to improve constructability, embed our solutions in specifications and support repeat business across additional sites and regions.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Capacity, Workforce and Execution Throughput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intend to continue expanding manufacturing capacity, labor quality, automation and execution throughput to support accelerating hyperscale and AI-driven demand.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adding production capacity and operational infrastructure to support increased project volume, complexity and geographic reach while leveraging available capacity and maintaining a capital-light expansion model;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investing in training, safety, above-market compensation, incentives and workforce development to scale execution quality as we grow;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flexibility to adjust production mix and deploy field resources without compromising schedule, quality or margin discipline;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continuing to shift appropriate work from the field to controlled manufacturing environments through prefabrication and modular assembly;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deploying robotics, automation and welding process improvements to increase throughput, reduce labor constraints and improve lead times.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Services and Lifecycle Offerings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services represent an opportunity to increase the durability and profitability of our revenue base while strengthening customer relationships. In addition to installation, electrical fit-out and low-voltage services, we are building capabilities to install, start up, inspect, service, repair and reconfigure our products and related systems over time.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service offerings associated with the full lifecycle of the data hall and our Power Products, including installation, start-up, testing, commissioning support, regular inspection, maintenance, failed-equipment replacement, ongoing modifications and reconfigurations;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penetration of services sold as part of Infrastructure Solutions and alongside Power Products to provide customers with a unified scope and clearer accountability;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building additional field and support capabilities to expand responsiveness and capacity for repeat work, including lifecycle services on RPPs and other Power Products.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Retrofit, Upgrade and Reconfiguration Solutions for Existing Data Centers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the total base of data center capacity increases, this directly leads to long-term replacement/refresh spending. As customers increase compute density, adopt new architectures and reconfigure existing footprints, this drives changes to the needs of the white space infrastructure and power distribution. Retrofit opportunities could involve revenue scope similar to portions of the initial build where new architectures require substantial changes. Our strategy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support customers as they increase power density, change server architectures and modify white space layouts to accommodate next-generation workloads;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single-source model to reduce downtime risk and execution complexity during live-environment upgrades;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offer and sell long-term maintenance contracts to existing and new campus builds.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Pursue Selective, Capability-Driven Acquisitions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Consistent with our platform strategy, we may selectively pursue acquisitions that add technical capabilities, manufacturing capacity, intellectual property, talent or product content that can be commercialized through our existing platform. We view acquisition as a supporting tool rather than a primary growth strategy and generally prefer to build capabilities organically when doing so can meet customer timelines. Our approach is expected to focus on opportunities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 complementary capabilities, product foundations or technical expertise and accelerate time-to-market for new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enhance technical, engineering or execution expertise in priority adjacencies;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can be integrated in a disciplined manner without diverting focus from organic growth, customer execution and our current white space opportunity.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expect to maintain capital discipline and a measured pace as we evaluate any such opportunities.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Explore Selective International Expansion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While our primary focus remains on the North American data center infrastructure market, international data center construction will continue to expand over the long term. We may pursue selective international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prioritizing regions with strong hyperscale demand and deployment characteristics similar to the United States;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our existing design, manufacturing and installation capabilities to support customers with global requirements.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 Factor Summary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There are a number of risks related to our business, this offering and our Class A common stock that you should consider before you decide to participate in this offering. You should carefully consider all the information presented in “Risk Factors” in this prospectus. Some of the principal risks related to our business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reduction in demand or slowdown in the growth of drivers of data center demand;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data center industry dynamics;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negative publicity about us or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limited number of large-scale data center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concentrated base of hyperscale and colocation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backlog being subject to unexpected adjustments and cancellations;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compete effectively;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anticipate and adapt to rapid changes in data center technologies and architectures;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secure new contracts;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identify, integrate and realize the expected benefits of acquisitions;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our indemnification rights in acquisition agreements;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success of our cost management strategies, vertically integrated operating model and modular infrastructure platform;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extended sales cycles and irregular customer ordering patterns;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exposure to cost overruns and schedule penalties under fixed-price or committed-schedule arrangements;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the continued service of our founders and key leaders and our ability to recruit and retain skilled engineers, technicians and electricians;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scale operations rapidly;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equipment failure, capacity constraints, labor availability and safety incidents;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shortages, quality issues, price increases, transportation disruptions or government trade actions affecting raw materials and components in our supply chain;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reliance on contractors and subcontractors to supplement our own capabilities and to conduct aspects of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economic downturn, tighter financing conditions or pricing challenges;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geopolitical developments, trade policy shifts and macroeconomic volatility, including commodity price volatility;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seasonal variations in operations and demand that affect construction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business disruption, natural disasters, public health events or other catastrophic events;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adequately protect our intellectual property and other proprietary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claims alleging infringement, misappropriation or violation of third-party intellectual property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obtain or maintain sufficient insurance at acceptable cost;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laws, regulations and standards applicable to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disruption in our customers’ markets from future AI-related legislation and regulation and the impact it may have on demand for our products and services;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defects, installation errors or performance shortfalls resulting in warranty claims, reputational harm and liability;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potential legal proceedings and disputes arising from our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misconduct or noncompliance by employees or subcontractors;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comply with environmental, health and safety laws in our manufacturing facilities and at customer sites;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indebtedness and financing needs and the limitations our existing Credit Agreement imposes, and any future credit agreements may impose, on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inability to remediate our material weaknesses, or our failure to develop and maintain effective internal control over financial reporting;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cybersecurity incidents or data privacy breaches;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risks and uncertainties related to the development and use of AI.</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These and other risks are more fully described in “Risk Factors” in this prospectus. If any of these risks actually occurs, or if we are unable to adequately address these or other risks we face, our business, financial condition, results of operations, cash flows and prospects could be materially and adversely affected. As a result, you could lose all or part of your investment in our Class A common stock.</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Principal Stockholder</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a valuable relationship with our Principal Stockholder, Olympus. Olympus manages several private equity funds that own an interest in us (the “Olympus Funds”). Unless otherwise noted or the context otherwise requires, as used in this prospectus, “Olympus” refers to Olympus Partners, LP, the ultimate general partner of the Olympus Funds, and its affiliated entities, including the Olympus Funds. In connection with this offering, we will enter into a director nomination agreement (the “Director Nomination Agreement”) with Olympus that provides Olympus the right to designate nominees to our board of directors (the “Board”), subject to certain conditions.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Olympus is a private equity firm focused on providing equity capital for middle market management buyouts and for growing companies. Olympus manages in excess of $12 billion mainly on behalf of corporate pension funds, endowment funds and state-sponsored retirement programs. Founded in 1988, Olympus is an active, long-term investor across a broad range of industries including business services, food services, consumer products, healthcare services, financial services, industrial services and manufacturing.</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General Corporate Information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principal executive offices are located at 9555 N. Springboro Pike, Suite 400, Miamisburg, Ohio 45342. Our telephone number is (937) 258-0616. Our website address is www.accelevation.com.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 We are a holding company and all of our business operations are conducted through, and substantially all of our assets are held by, our subsidiaries.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Status as a Controlled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Because Olympus will control approximately                    % of the voting power of our company following the completion of this offering (or                     % if the underwriters exercise their option to purchase additional shares in full), we will be a “controlled company” as of the completion of the offering under the Sarbanes-Oxley Act of 2002, as amended (the “Sarbanes-Oxley Act”), and the rules of                      . As a controlled company, we will not be required to have a majority of independent directors or to form an independent compensation committee or nominating and corporate governance committee. As a controlled company, we will remain subject to the rules of the Sarbanes-Oxley Act and be required to have an audit committee composed entirely of independent directors. Under these rules, we must have at least one independent director on our audit committee by the date our Class A common stock is listed on                      , at least two independent directors on our audit committee within 90 days of the listing date, and at least three directors, all of whom must be independent, on our audit committee within one year of the listing date. We expect to have                    independent directors upon the closing of this offering, of whom                     will qualify as independent for audit committee purposes.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If at any time we cease to be a controlled company, we will take all action necessary to comply with the Sarbanes-Oxley Act and the rules of                      , including by having a majority of independent directors and ensuring we have a compensation committee and a nominating and corporate governance committee, each composed entirely of independent directors, subject to a permitted “phase-in” period. See “Management—Corporate Governance—Controlled Company Status.”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Implications of Being an Emerging Growth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qualify as an “emerging growth company” as defined in the Jumpstart Our Business Startups Act (the “JOBS Act”). We will remain an emerging growth company until the earlier of (i) the last day of the fiscal year following the fifth anniversary of the completion of this offering, (ii) the last day of the fiscal year in which we have total annual gross revenue of at least $1.235 billion, (iii) the date on which we are deemed to be a large accelerated filer (meaning the market value of common stock that is held by non-affiliates exceeds $700.0 million as of the end of the second quarter of that fiscal year) or (iv) the date on which we have issued more than $1.0 billion in non-convertible debt securities during the prior three-year period.</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An emerging growth company may take advantage of reduced reporting and certain other requirements that are otherwise applicable to public companies. These provisions include, but are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not being required to comply with the independent registered public accounting firm attestation requirements of Section 404 of the Sarbanes-Oxley Act;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only being required to present two years of audited financial statements, plus unaudited condensed financial statements for any interim period, and related management’s discussion and analysis of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reduced disclosure obligations regarding executive compensation in our periodic reports, proxy statements and registration statements;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exemptions from the requirements of holding a nonbinding advisory vote on executive compensation and stockholder approval of any golden parachute payments not previously approved.</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elected to take advantage of certain of the reduced disclosure obligations regarding financial statements and executive compensation in this prospectus and expect to elect to take advantage of other reduced burdens in future filings. As a result, the information that we provide to our stockholders may be different than you might receive from other public reporting companies in which you hold equity interests.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Under the JOBS Act, emerging growth companies can delay adopting new or revised accounting standards until such time as those standards apply to private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Ownership and Organizational Structure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Accelevation Holdings Corp. is a Delaware corporation formed to serve as a holding company that will hold an interest in Holdings LLC. Accelevation Holdings Corp. has not engaged in any business or other activities other than in connection with its formation and this offering. Upon consummation of this offering and the application of the net proceeds therefrom, we will be a holding company, our sole assets will be an equity interest in Holdings LLC and Instor, and we will operate and control all of the business and affairs and consolidate the financial results of Holdings LLC.</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connection with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existing operating agreement of Holdings LLC (the “LLC Operating Agreement”) to, among other things, (i) modify the capital structure of Holdings LLC by replacing the current membership interests with a new class of common membership interests consisting of LLC Units and (ii) appoint Accelevation Holdings Corp. as the sole managing member of Holdings LLC. See “Organizational Structure—Amended and Restated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Principal Stockholder and certain other holders of indirect interests in Holdings LLC will engage in a series of transactions, which may include one or more contributions, mergers or otherwise, that will result in (i) the formation of Accelevation Pubco Holdings LP (“Accelevation Pubco Holdings”) and Accelevation Investment Holdings LLC (“Investment Holdings”), entities controlled by our Principal Stockholder, (ii) the dissolution of Olympus Accelevation Holdings Aggregator LLC (“Olympus Holdings Aggregator”) and (iii) certain holders of an indirect interest in Holdings LLC exchanging a portion of such interest in Holdings LLC for a direct or indirect interest in Accelevation Pubco Holdings, which in turn will contribute such interests in Holdings LLC into Accelevation Holdings Corp. in exchange for shares of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certificate of incorporation of Accelevation Holdings Corp. to, among other things, provide for Class A common stock and Class B common stock. See “Description of Capital Stock”;</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issue shares of Class B common stock to Investment Holdings on a one-to-one basis with the number of LLC Units it owns, for nominal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an exchange agreement (the “Exchange Agreement”) with Investment Holdings and certain other existing owners of Holdings LLC, pursuant to which Investment Holdings and such existing owners (or certain permitted transferees thereof) will be entitled to exchange Series B Units of Holdings LLC,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See “Organizational Structure—Exchange Agreement”;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a tax receivable agreement (the “Tax Receivable Agreement”) with Investment Holdings and Accelevation Pubco Holdings, which are entities controlled by our Principal Stockholder and permitted transferees thereof (collectively, the “TRA Rights Holders”) that will require the payment by Accelevation Holdings Corp. to such persons of collectively           % of certain tax savings (calculated using certain assumptions), if any, in U.S. federal, state and local income taxes we actually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 See “Organizational Structure—Tax Receivable Agreement” and “Certain Relationships and Related Party Transactions—Tax Receivable Agreement.”</w:t>
      </w:r>
    </w:p>
    <w:p>
      <w:pPr>
        <w:pStyle w:val="TextBody"/>
        <w:bidi w:val="0"/>
        <w:spacing w:lineRule="auto" w:line="288" w:before="16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We intend to use such net proceeds to acquire Series A Units of Holdings LLC (or Series A Units if the underwriters exercise their option to purchase additional shares in full) at a purchase price per Series A Unit equal to the initial public offering price per share of Class A common stock in this offering, less underwriting discounts and commissions.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turn, Holdings LLC intends to apply the proceeds it receives from us (including any additional proceeds it may receive from us if the underwriters exercise their option to purchase additional shares) (i) to repay approximately $           of outstanding borrowings under our Credit Agreement, under which we had approximately $651.5 million outstanding under the Term Loan Facility and no outstanding borrowings under the Revolving Credit Facility, and which each had a weighted average interest rate of 8.772% as of June 30, 2026,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will not receive any of the proceeds from the sale of shares of Class A common stock by the selling stockholders in this offering.</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60" w:after="283"/>
        <w:jc w:val="center"/>
        <w:rPr>
          <w:bdr w:val="single" w:sz="8" w:space="36" w:color="000000"/>
        </w:rPr>
      </w:pPr>
      <w:r>
        <w:rPr>
          <w:bdr w:val="single" w:sz="8" w:space="36" w:color="000000"/>
        </w:rPr>
        <w:drawing>
          <wp:inline distT="0" distB="0" distL="0" distR="0">
            <wp:extent cx="3886200" cy="8220075"/>
            <wp:effectExtent l="0" t="0" r="0" b="0"/>
            <wp:docPr id="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6" descr=""/>
                    <pic:cNvPicPr>
                      <a:picLocks noChangeAspect="1" noChangeArrowheads="1"/>
                    </pic:cNvPicPr>
                  </pic:nvPicPr>
                  <pic:blipFill>
                    <a:blip r:embed="rId7"/>
                    <a:stretch>
                      <a:fillRect/>
                    </a:stretch>
                  </pic:blipFill>
                  <pic:spPr bwMode="auto">
                    <a:xfrm>
                      <a:off x="0" y="0"/>
                      <a:ext cx="3886200" cy="8220075"/>
                    </a:xfrm>
                    <a:prstGeom prst="rect">
                      <a:avLst/>
                    </a:prstGeom>
                  </pic:spPr>
                </pic:pic>
              </a:graphicData>
            </a:graphic>
          </wp:inline>
        </w:drawing>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diagram below depicts our expected organizational structure immediately following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jc w:val="center"/>
        <w:rPr>
          <w:bdr w:val="single" w:sz="8" w:space="36" w:color="000000"/>
        </w:rPr>
      </w:pPr>
      <w:r>
        <w:rPr>
          <w:bdr w:val="single" w:sz="8" w:space="36" w:color="000000"/>
        </w:rPr>
        <w:drawing>
          <wp:inline distT="0" distB="0" distL="0" distR="0">
            <wp:extent cx="5943600" cy="5105400"/>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5943600" cy="5105400"/>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(1)Shares of Class A common stock and Class B common stock will vote as a single class. Each outstanding share of Class A common stock and Class B common stock will be entitled to one vote on all matters to be voted on by stockholders generally. The Class B common stock will not have any right to receive dividends or distributions upon the liquidation or winding up of Accelevation Holdings Corp. In accordance with the Exchange Agreement to be entered into in connection with the Organizational Transactions, Investment Holdings (and its permitted transferees) will be entitled to exchange its Series B Units of Holdings LLC, together with an equal number of shares of Class B common stock, for shares of Class A common stock determined in accordance with the Exchange Agreement or, at our election, for cash from a substantially concurrent public offering or private sale (based on the price of our Class A common stock in such public offering or private sale).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(2)Upon completion of this offering, the holders of Class A common stock, other than Accelevation Pubco Holdings, will have approximately          % of the voting power in Accelevation Holdings Corp. (or approximately           % if the underwriters exercise their option to purchase additional shares in full).</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(3)Upon completion of this offering, our Principal Stockholder will control the voting power in Accelevation Holdings Corp. as follows: (a) approximately          % (or approximately           % if the underwriters exercise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their option to purchase additional shares in full) through its control of Accelevation Pubco Holdings, which will hold shares of Class A common stock of Accelevation Holdings Corp., and (b) approximately          % (or approximately          % if the underwriters exercise their option to purchase additional shares in full) through its control of Investment Holdings, which will hold shares of Class B common stock of Accelevation Holdings Corp. and Series B Units of Holdings LLC.</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completion of this offering, (a) Investment Holdings will own approximately    % (or approximately                     % if the underwriters exercise their option to purchase additional shares in full) of the LLC Units and (b) Accelevation Holdings Corp. and Instor will own approximately      % (or approximately     % if the underwriters exercise their option to purchase additional shares in full) of the LLC Units.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corporate structure following the offering, as described above, is commonly referred to as an “Up-C” structure, which is often used by partnerships and limited liability companies undertaking an initial public offering. Our Up-C structure, together with the Tax Receivable Agreement, will allow certain existing direct and indirect owners of Holdings LLC to continue to realize tax benefits associated with owning interests in an entity that is treated as a partnership, or “pass-through” entity, for income tax purposes following the offering. One of these benefits is that future taxable income of Holdings LLC that is allocated to such owners will be taxed on a flow-through basis and therefore will generally not be subject to corporate U.S. federal income taxes at the entity level. Additionally, because the Series B Units of Holdings LLC that Investment Holdings will continue to hold are exchangeable, the Up-C structure also provides certain existing direct and indirect owners of Holdings LLC with potential liquidity that holders of non-publicly traded limited liability companies are not typically afforded. See “Organizational Structure” and “Description of Capital Stock.”</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Following this offering, Investment Holdings and certain other existing owners of Holdings LLC will hold a number of shares of our Class B common stock equal to the number of Series B Units of Holdings LLC that they own. Holders of our Class A common stock and Class B common stock will each be entitled to one vote per share on all matters on which stockholders are entitled to vote.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Accelevation Holdings Corp. will also hold LLC Units and therefore receive benefits on account of its ownership in an entity treated as a partnership, or a “pass-through” entity, for income tax purposes. As Accelevation Holdings Corp. acquires Series B Units of Holdings LLC from Investment Holdings (or any of its respective transferees) under the exchange mechanism described above, it will obtain a step-up in tax basis in its share of the assets of Holdings LLC and its flow-through subsidiaries. This step-up in tax basis will provide Accelevation Holdings Corp. with certain tax benefits, such as future depreciation and amortization deductions that can reduce the taxable income allocable to Accelevation Holdings Corp.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connection with the consummation of this offering, we will enter into a Tax Receivable Agreement with the TRA Rights Holders under which Accelevation Holdings Corp. will agree to pay the TRA Rights Holders, collectively,           % of certain tax benefits that Accelevation Holdings Corp. realized, or is deemed to realize (calculated using certain assumptions),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expect that the payments we may make under the Tax Receivable Agreement will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certain other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million, over the same period. These amounts have been prepared for informational purposes only. The actual increases in tax basis with respect to future exchanges or purchases of LLC Units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the assumed combined state and local tax rate), the amount and timing of the taxable income that we generate in the future and the extent to which future exchanges or purchases of LLC Units are taxable transactions. See “Organizational Structure—Tax Receivable Agreement” and “Certain Relationships and Related Party Transactions—Tax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 result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investors in this offering will collectively own                    shares of our Class A common stock and we will hold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will own                    shares of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will collectively represent approximately                    % of the voting power in us, with shares of Class A common stock held by the public representing approximately                    % of the voting power in us;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B common stock will collectively represent approximately                    % of the voting power in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1040"/>
        <w:gridCol w:w="716"/>
        <w:gridCol w:w="729"/>
        <w:gridCol w:w="109"/>
        <w:gridCol w:w="109"/>
        <w:gridCol w:w="109"/>
        <w:gridCol w:w="2375"/>
        <w:gridCol w:w="2086"/>
        <w:gridCol w:w="2932"/>
      </w:tblGrid>
      <w:tr>
        <w:trPr/>
        <w:tc>
          <w:tcPr>
            <w:tcW w:w="10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Issuer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Accelevation Holdings Corp.</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 offered by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Class A common stock offered by the selling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Underwriters’ option to purchase additional shares of Class A common stock from the selling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A 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shares (or                 shares if the underwriters exercise their option to purchase additional shares in full). If all outstanding LLC Units held by the LLC Unitholders were exchanged for newly issued shares of Class A common stock on a one-for-one basis,                  shares of Class A common stock would be outstanding.</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B 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shares. Immediately after this offering, the LLC Unitholders will own 100% of the outstanding shares of our Class B common stock.</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Ratio of shares of Class A common stock to LLC Units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the amended and restated operating agreement of Holdings LLC will require that we and Holdings LLC at all times maintain a one-to-one ratio between the number of shares of Class A common stock issued by us and the number of LLC Units owned by us (subject to certain exceptions for treasury shares and shares underlying certain convertible or exchangeable securities).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our Class A common stock entitles its holder to one vote on all matters to be voted on by stockholders generally.</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our Class B common stock entitles its holder to one vote on all matters to be voted on by stockholders generally.</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After this offering, each LLC Unitholder will hold a number of shares of Class B common stock equal to the number of LLC Units it owns. See “Description of Capital Stock—Class B Common Stock.”</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our Class A common stock and Class B common stock vote together as a single class on all matters presented to our stockholders for their vote or approval, except as otherwise required by applicable law.</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 power held by holders of Class A common stock</w:t>
            </w:r>
            <w:r>
              <w:rPr>
                <w:color w:val="000000"/>
              </w:rPr>
              <w:t xml:space="preserve"> </w:t>
            </w:r>
            <w:r>
              <w:rPr>
                <w:rFonts w:ascii="Times New Roman;serif" w:hAnsi="Times New Roman;serif"/>
                <w:b/>
                <w:color w:val="000000"/>
                <w:sz w:val="20"/>
              </w:rPr>
              <w:t>immediately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 power held by holders of Class B common stock</w:t>
            </w:r>
            <w:r>
              <w:rPr>
                <w:color w:val="000000"/>
              </w:rPr>
              <w:t xml:space="preserve"> </w:t>
            </w:r>
            <w:r>
              <w:rPr>
                <w:rFonts w:ascii="Times New Roman;serif" w:hAnsi="Times New Roman;serif"/>
                <w:b/>
                <w:color w:val="000000"/>
                <w:sz w:val="20"/>
              </w:rPr>
              <w:t>immediately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3"/>
        <w:gridCol w:w="260"/>
        <w:gridCol w:w="261"/>
        <w:gridCol w:w="109"/>
        <w:gridCol w:w="109"/>
        <w:gridCol w:w="109"/>
        <w:gridCol w:w="3054"/>
        <w:gridCol w:w="2422"/>
        <w:gridCol w:w="3438"/>
      </w:tblGrid>
      <w:tr>
        <w:trPr/>
        <w:tc>
          <w:tcPr>
            <w:tcW w:w="4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In turn, Holdings LLC intends to apply the balance of the net proceeds it receives from us (including any additional proceeds it may receive from us if the underwriters exercise their option to purchase additional shares) to:</w:t>
            </w:r>
          </w:p>
          <w:p>
            <w:pPr>
              <w:pStyle w:val="TableContents"/>
              <w:bidi w:val="0"/>
              <w:spacing w:lineRule="auto" w:line="240" w:before="0" w:after="180"/>
              <w:ind w:left="0" w:right="0" w:hanging="360"/>
              <w:jc w:val="both"/>
              <w:rPr/>
            </w:pPr>
            <w:r>
              <w:rPr>
                <w:color w:val="000000"/>
              </w:rPr>
              <w:t>•</w:t>
            </w:r>
            <w:r>
              <w:rPr>
                <w:rFonts w:ascii="Times New Roman;serif" w:hAnsi="Times New Roman;serif"/>
                <w:b w:val="false"/>
                <w:color w:val="000000"/>
                <w:sz w:val="20"/>
              </w:rPr>
              <w:t>repay approximately $ of outstanding borrowings under our Credit Agreement; and</w:t>
            </w:r>
          </w:p>
          <w:p>
            <w:pPr>
              <w:pStyle w:val="TableContents"/>
              <w:bidi w:val="0"/>
              <w:spacing w:lineRule="auto" w:line="240" w:before="0" w:after="180"/>
              <w:ind w:left="0" w:right="0" w:hanging="360"/>
              <w:jc w:val="both"/>
              <w:rPr/>
            </w:pPr>
            <w:r>
              <w:rPr>
                <w:color w:val="000000"/>
              </w:rPr>
              <w:t>•</w:t>
            </w:r>
            <w:r>
              <w:rPr>
                <w:rFonts w:ascii="Times New Roman;serif" w:hAnsi="Times New Roman;serif"/>
                <w:b w:val="false"/>
                <w:color w:val="000000"/>
                <w:sz w:val="20"/>
              </w:rPr>
              <w:t>apply the balance of the net proceeds it receives from us (including any additional proceeds it may receive from us if the underwriters exercise their option to purchase additional shares) to pay expenses incurred in connection with this offering and the Organizational Transactions and for general corporate purposes.</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of the proceeds from the sale of shares of Class A common stock by the selling stockholders in this offering. We will, however, bear the costs associated with the sale of shares of Class A common stock by the selling stockholders, other than underwriting discounts and commissions. </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See “Use of Proceeds” and “Organizational Structure.”</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Controlled company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After this offering, assuming an offering size as set forth in this section, Olympus will control approximately          % of the voting power (or           % if the underwriters exercise their option to purchase additional shares in full) in us. As a result, we expect to be a controlled company within the meaning of the corporate governance standards of                    . See “Management—Corporate Governance—Controlled Company Status.”</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Dividend policy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any future earnings for investment in our business and do not expect to pay any dividends in the foreseeable future. The declaration and payment of all future dividends, if any, will be at the discretion of our Board and will depend upon our financial condition, earnings, contractual conditions or applicable laws and other factors that our Board may deem relevant. See “Dividend Policy.”</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342"/>
        <w:gridCol w:w="345"/>
        <w:gridCol w:w="109"/>
        <w:gridCol w:w="109"/>
        <w:gridCol w:w="109"/>
        <w:gridCol w:w="2604"/>
        <w:gridCol w:w="2482"/>
        <w:gridCol w:w="3524"/>
      </w:tblGrid>
      <w:tr>
        <w:trPr/>
        <w:tc>
          <w:tcPr>
            <w:tcW w:w="5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Exchange rights of holders of the LLC Units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Prior to this offering, we will enter into the Exchange Agreement with the LLC Unitholders, including Investment Holdings and certain existing owners of Holdings LLC, so that the LLC Unitholders (and any permitted transferee thereof) may exchange LLC Units,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Any shares of Class B common stock so delivered will be cancelled. See “Organizational Structure—Exchange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Tax Receivable Agreement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will enter into a Tax Receivable Agreement with the TRA Rights Holders that will provide for the payment by us to such persons of           % of the amount of certain tax savings (calculated using certain assumptions), if any, that Accelevation Holdings Corp. actually realizes (or in some circumstances is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See “Organizational Structure—Tax Receivable Agreement” and “Certain Relationships and Related Party Transactions—Tax Receivable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Registration Rights Agreement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intend to enter into a registration rights agreement (the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of 1933, as amended (the “Securities Act”), shares of Class A common stock (including shares issuable to the LLC Unitholders upon exchange of their LLC Units). The Registration Rights Agreement will also provide for piggyback registration rights for our Principal Stockholder. See “Certain Relationships and Related Party Transactions—Registration Rights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Class A common stock involves a high degree of risk. See “</w:t>
            </w:r>
            <w:hyperlink w:anchor="ib0437060bf8941bdac8d94e40b7c03d7_34">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elsewhere in this prospectus for a discussion of factors you should carefully consider before deciding to invest in our Class A common stock.</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Symbol for trading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all information in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the effectiveness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an initial public offering price of $                    per share, which is the midpoint of the estimated public offering price range set forth on the cover page of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that the underwriters’ option to purchase additional shares of Class A common stock is not exercised;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excludes the shares of Class A common stock that may be issuable upon exercise of exchange rights held by the LLC Unitholders; and</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excludes                    shares of Class A common stock reserved for future issuance under the Accelevation Holdings Corp. 2026 Omnibus Incentive Plan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 HISTORICAL AND UNAUDITED PRO FORMA FINANCIAL AND OTHER DATA</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tables present, as of the dates and for the periods indicated: (i) the summary historical consolidated financial information of Accelevation Holding Company, LLC and its subsidiaries for the Predecessor period, (ii) the summary historical consolidated financial information of Holdings LLC and its subsidiaries for the Successor period and (iii) the summary unaudited pro forma financial data for Accelevation Holdings Corp. and its consolidated subsidiaries, including Holdings LLC. Holdings LLC is the predecessor of Accelevation Holdings Corp. for financial reporting purposes.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consolidated statements of operations data and summary historical consolidated statements of cash flow data presented below for the years ended December 31, 2025 and 2024 and the consolidated balance sheet data as of December 31, 2025 and 2024 have been derived from, and should be read together with, our audited consolidated historical financial statements and the accompanying notes included elsewhere in this prospectus. Our historical results are not necessarily indicative of results to be expected in future periods.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condensed consolidated statements of operations data and summary historical condensed consolidated statements of cash flow data presented below for the three months ended March 31, 2026 and 2025 and the condensed consolidated balance sheet data as of March 31, 2026 and 2025 have been derived from, and should be read together with, our unaudited condensed consolidated historical financial statements and the accompanying notes included elsewhere in this prospectus. Our historical results are not necessarily indicative of results to be expected in future periods.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consolidated financial information of Accelevation Holdings Corp. has not been presented. Accelevation Holdings Corp. is a newly incorporated entity, has had no business transactions or activities to date and had no material assets or liabilities during the periods presented in this section.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This information is a summary only and should be read in conjunction with “Risk Factors,” “Capitalization,” “Dilution,” “Unaudited Consolidated Pro Forma Financial Information,” “Management’s Discussion and Analysis of Financial Condition and Results of Operations” and our consolidated financial statements and the accompanying notes included elsewhere in this prospectus.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summary unaudited consolidated pro forma financial information of Accelevation Holdings Corp. presented below has been derived from the unaudited consolidated pro forma financial statements and notes included elsewhere in this prospectus. The summary unaudited consolidated pro forma financial information as of and for the year ended December 31, 2025, gives effect to the Organizational Transactions as described in “Organizational Structure,” including the consummation of this offering, the use of the net proceeds therefrom and related transactions, as described in “Use of Proceeds” and “Unaudited Consolidated Pro Forma Financial Information,” as if all such transactions had occurred or had become effective on January 1, 2025, with respect to the consolidated statement of operations data, and December 31, 2025, with respect to the consolidated balance sheet data. The unaudited consolidated pro forma financial information includes various estimates that are subject to material change and may not be indicative of what our results of operations or financial position would have been had this offering and related transactions taken place on the dates indicated, or that may be expected to occur in the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future. See “Unaudited Consolidated Pro Forma Financial Information” for a complete description of the adjustments and assumptions underlying the summary unaudited consolidated pro forma financial information.</w:t>
      </w:r>
    </w:p>
    <w:tbl>
      <w:tblPr>
        <w:tblW w:w="10205" w:type="dxa"/>
        <w:jc w:val="left"/>
        <w:tblInd w:w="0" w:type="dxa"/>
        <w:tblLayout w:type="fixed"/>
        <w:tblCellMar>
          <w:top w:w="28" w:type="dxa"/>
          <w:left w:w="28" w:type="dxa"/>
          <w:bottom w:w="28" w:type="dxa"/>
          <w:right w:w="28" w:type="dxa"/>
        </w:tblCellMar>
      </w:tblPr>
      <w:tblGrid>
        <w:gridCol w:w="1112"/>
        <w:gridCol w:w="623"/>
        <w:gridCol w:w="627"/>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409"/>
        <w:gridCol w:w="409"/>
        <w:gridCol w:w="584"/>
      </w:tblGrid>
      <w:tr>
        <w:trPr/>
        <w:tc>
          <w:tcPr>
            <w:tcW w:w="11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Accelevation Holdings Corp.</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 Forma Per Share Data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computing net earnings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7"/>
        <w:gridCol w:w="785"/>
        <w:gridCol w:w="793"/>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27"/>
        <w:gridCol w:w="892"/>
        <w:gridCol w:w="117"/>
        <w:gridCol w:w="109"/>
        <w:gridCol w:w="109"/>
        <w:gridCol w:w="109"/>
        <w:gridCol w:w="743"/>
        <w:gridCol w:w="735"/>
        <w:gridCol w:w="1049"/>
      </w:tblGrid>
      <w:tr>
        <w:trPr/>
        <w:tc>
          <w:tcPr>
            <w:tcW w:w="93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Accelevation Holdings Corp.</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w:t>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37"/>
        <w:gridCol w:w="1262"/>
        <w:gridCol w:w="1275"/>
        <w:gridCol w:w="109"/>
        <w:gridCol w:w="109"/>
        <w:gridCol w:w="109"/>
        <w:gridCol w:w="218"/>
        <w:gridCol w:w="745"/>
        <w:gridCol w:w="112"/>
        <w:gridCol w:w="109"/>
        <w:gridCol w:w="109"/>
        <w:gridCol w:w="109"/>
        <w:gridCol w:w="109"/>
        <w:gridCol w:w="109"/>
        <w:gridCol w:w="109"/>
        <w:gridCol w:w="211"/>
        <w:gridCol w:w="896"/>
        <w:gridCol w:w="109"/>
        <w:gridCol w:w="109"/>
        <w:gridCol w:w="109"/>
        <w:gridCol w:w="109"/>
        <w:gridCol w:w="211"/>
        <w:gridCol w:w="896"/>
        <w:gridCol w:w="109"/>
        <w:gridCol w:w="109"/>
        <w:gridCol w:w="109"/>
        <w:gridCol w:w="109"/>
        <w:gridCol w:w="211"/>
        <w:gridCol w:w="721"/>
        <w:gridCol w:w="157"/>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33" w:type="dxa"/>
        <w:jc w:val="left"/>
        <w:tblInd w:w="0" w:type="dxa"/>
        <w:tblLayout w:type="fixed"/>
        <w:tblCellMar>
          <w:top w:w="28" w:type="dxa"/>
          <w:left w:w="28" w:type="dxa"/>
          <w:bottom w:w="28" w:type="dxa"/>
          <w:right w:w="28" w:type="dxa"/>
        </w:tblCellMar>
      </w:tblPr>
      <w:tblGrid>
        <w:gridCol w:w="1351"/>
        <w:gridCol w:w="1189"/>
        <w:gridCol w:w="1195"/>
        <w:gridCol w:w="109"/>
        <w:gridCol w:w="109"/>
        <w:gridCol w:w="109"/>
        <w:gridCol w:w="219"/>
        <w:gridCol w:w="748"/>
        <w:gridCol w:w="113"/>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and Other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Backlog</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is a non-GAAP financial measure. We define Adjusted EBITDA as net income (loss) adjusted for interest income and expense, provision for income taxes, depreciation and amortization expense, equity-based compensation expense, public company readiness costs, acquisition-related costs, sponsor fees and expenses, change in fair value of acquisition earnout and asset impairment, as well as certain non-recurring items, including payments to Olympus that are expected to cease upon the occurrence of this offering. For a reconciliation of Adjusted EBITDA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(2)Adjusted Net Income is a non-GAAP financial measure. We define Adjusted Net Income as net income (loss) plus or minus (i) amortization of intangibles, (ii) equity-based compensation, (iii) sponsor fees and expenses,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(iv) public company readiness costs, (v) acquisition-related costs, (vi) changes in the fair value of contingent consideration liabilities, (vii) asset impairments, (viii) other non-recurring items, and (ix) tax impact of adjustments. For a reconciliation of Adjusted Net Income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(3)Free Cash Flow is a non-GAAP financial performance measure. We define Free Cash Flow as net cash (used in) provided by operating activities adjusted for purchase of property and equipment. For a reconciliation of Free Cash Flow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(4)Backlog is given as of the end of each period presented. Backlog consists of the remaining unrecognized revenue on executed contracts and purchase orders, as well as letters of intent and notices to proceed with respect to purchase orders received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offering and an investment in our Class A common stock involve a high degree of risk. You should carefully consider the risks and uncertainties described below, together with the financial and other information contained elsewhere in this prospectus, including our consolidated financial statements and the related notes thereto, before making a decision to invest in our Class A common stock. The risks and uncertainties described below are not the only ones we face. Additional risks and uncertainties that we are unaware of, or that we currently believe are not material, may also become important factors that affect us. If any of the following risks actually occur, our business, financial condition, results of operations, cash flows and prospects could be materially adversely affected. As a result, the trading price of our Class A common stock could decline, and you could lose all or part of your investment.</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Because of the following factors, as well as other factors affecting our business, financial condition, operating results and prospects, past financial performance should not be considered a reliable indicator of future performance, and investors should not rely on historical trends to anticipate trends or results in the future. You should also carefully review the cautionary statements referred to under “Forward-Looking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investment in data center construction and capacity, and any reduction in demand or slowdown in the growth of drivers of data center demand could materially and adversely affect our business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revenue is derived from hyperscale, colocation and other large-scale data center customers, and reductions in new construction, retrofit activity and new market development could decrease orders and negatively affect our revenues and cash flows. Adverse developments in the data center infrastructure market or in the industries in which our customers operate could lead to a decrease in the demand for data center resources, including our offerings, which would have a material adverse effect on our business and results of operations. Certain risks to the data center infrastructure market include, but are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downturn in the market for data centers generally, which could be caused by an oversupply of or reduced demand for data center capacity;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decline in the development of the AI industry, reduced interest in AI, government regulation that limits the use of AI or AI’s failure to deliver expected results;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transition by our customers from contracting with us to constructing and outfitting data centers using in-house resources;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reduction in demand for large-scale, high-capacity data center solutions, AI developers and other technology companies due to improved computational efficiency from emerging technologies;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rapid development of new technologies, software or models, or the adoption of new industry standards that render our or our customers’ current products and services obsolete or unmarketable, and that could also contribute to a downturn in our customers’ businesses, which would negatively affect demand for our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technological advancements that result in more power being required than our existing products can support;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technological advancements that result in less data center capacity and power being required;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availability and affordability of electric power;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availability and cost of labor and supplies;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volatility in interest rates and other macroeconomic conditions resulting in reduced customer capital expenditures, which would negatively affect demand for our offerings.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data center infrastructure and strategically position ourselves to support accelerating demand for data center capacity driven by numerous factors, including cloud computing, AI and enterprise digitization, but any downturns or reductions in projected investment levels would affect our sales, realization of our pipeline and growth prospects. As cloud computing, AI and enterprise digitization deployments scale, we seek to expand our solutions into further categories, but slower-than-expected adoption of cloud computing solutions, AI and enterprise digitization could have a negative effect on the data center infrastructure market generally, which would in turn reduce demand for our offerings and limit our ability to realize the benefits of current industry and macroeconomic trends. Demand forecasts for data center capacity can change rapidly, and customers may defer, resize or cancel projects if expected compute demand, tenant leasing activity, power availability or financing conditions do not support their original development plans. Any material slowdown in data center investment would negatively impact demand for our offerings, and our business, financial condition, and results of operations could suffer as a result.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data center industry dynamics, including increased siting constraints or community opposition could reduce data center construction or retrofit deployments and negatively affect demand for our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data center industry faces increasing community scrutiny related to the resource requirements and local impacts of data center development, and such scrutiny could reduce, delay or prevent data center projects where our offerings are deployed. In certain markets, residents and local stakeholders have raised concerns regarding the potential effects of data center development on electricity costs, water availability, noise levels, air quality and local land use. Data centers require significant electrical and water resources for their operations, and a significant number of data centers are facing regulatory or community attention regarding power and water allocation.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data center infrastructure industry generally, these concerns have contributed to legal challenges, local moratoria and project cancellations or delays. As concerns regarding data center development are raised, elected officials at local, state and federal levels may respond to such concerns by pursuing additional regulatory or permitting requirements. Local governments may also enact zoning restrictions, require community benefits agreements, impose performance standards or condition approvals on infrastructure commitments that could constrain or increase the cost and timeline of data center siting and construction, which could have a negative impact on demand for our offerings.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power grid constraints, power availability limitations or the inability of local utilities to provide sufficient and reliable power for growing data center needs may have a negative impact on installation timelines. Large campus projects are increasingly conditioned on power availability, development and integration of power grids and community acceptance, and deterioration in any of these factors could delay our builds and projects, which would negatively affect our ability to realize revenues. To the extent that electricity rate increases associated with data center demand are passed through to other consumers, community concerns may be heightened and potentially lead to regulatory actions that could increase the cost and complexity of data center development for our customers. This would in turn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Negative publicity or reputational concerns affecting the data center industry, our customers or our offerings could reduce demand for our products and services and harm our relationships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offerings are focused on power distribution and white space infrastructure products for large-scale data center customers, and negative publicity concerning data center resource utilization, environmental impacts, siting, industry practices or perceived community burdens could reduce public support for our customers’ projects and our offerings. For example, press coverage or public statements suggesting that data center growth is contributing to higher electricity prices, grid reliability concerns or strains on local infrastructure could cause customers, utilities, regulators or community stakeholders to subject data center projects to increased scrutiny, even where a particular project has obtained required permits and is not directly subject to local opposition. Similarly, adverse publicity involving one of our top customers, a major data center operator or the broader data center infrastructure supply chain could affect customer procurement decisions, delay new programs, reduce public support for future projects or make customers more cautious in selecting suppliers associated with mission-critical deployments.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product performance issues, project delays, safety incidents or disputes can also generate adverse attention and affect customer perceptions of our reliability. Any of these factors could result in reputational damage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which could lead to reduced project awards, greater pricing pressure, burdensome contractual requirements, re-allocations of capital investment and increased costs of capital, any of which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large-scale data center developer customers for a substantial portion of our revenue, and the loss of, delays or cancellations by, or a significant reduction in orders from, any key customer could materially and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had two customers that together accounted for approximately 61.2% of our direct revenue, and we expect a significant portion of our revenue to remain concentrated among a relatively small number of key customers. We anticipate that we will continue to be dependent on a limited number of customers for a significant portion of our revenue in the future, and in some cases, the portion of our revenue attributable to certain customers may increase in the future. However, we may not be able to maintain or increase the volume of work received from certain of our top customers for a variety of reasons, including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customers’ demand for our products and services may be volatile;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many of our top customers have pre-existing or concurrent relationships with our current or potential competitors that may affect such customers’ decision to purchase our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serve large-scale data center developers, often as a single-source partner, for the design and manufacture of mission-critical data center infrastructure and other project components. Large customers have substantial negotiating leverage and may impose stringent delivery, documentation and performance requirements that increase our costs of execution, including potential penalties for any product or service failures or the failure to timely deliver products. As we seek to sell more products and services to such customers, they may impose terms and conditions that are less favorable to us, which could affect the timing of our cash flows and our ability to recognize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early with design teams, which can require substantial pre-award engineering and coordination, and if certain projects or programs are reallocated or bidding pools narrow, we may fail to realize returns on these costs at the levels we expect or at all. Any program or commissioning delays, field rework or cancellations could materially and negatively affect our revenues, and any failure by us to meet delivery timelines, performance specifications or commissioning requirements can lead to claims for damages, warranty claims or reputational harm.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often rely on third-party financing to pay for their data center construction projects. If these customers are unable to raise capital on acceptable terms when needed, whether due to elevated interest rates, tightened credit markets or other factors, they could be required to delay the development and construction of projects, reduce the scope of those projects or take other actions that may limit the amount of work available to us. Our customers’ ability to fund new projects is dependent upon many factors, including general economic and capital market conditions, credit availability, investor confidence, their own financial health and the success of their business operations. Even where our customers are well-capitalized, internal capital allocation decisions or changes in expected returns may cause them to shift work among sites, delay releases under master programs or reduce near-term purchases from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large customer were to experience difficulties in fulfilling their obligations to us, cease doing business with us, significantly reduce the amount of their purchases from us, favor competitors, change their purchasing patterns or impose unexpected fees on us, our ability to meet our contract requirements may be adversely affected, which would have a negative effect on our business and results of operations. The loss of any one customer or multiple customers, or a significant reduction in spending by any of our customers, could have an outsized impact on our results of operations. Any significant reduction in orders from a leading customer or loss of a major program would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Substantially all of our revenue is concentrated in the hyperscale and colocation data center industry and adverse developments affecting that industry could materially and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vast majority of our revenue was derived from hyperscale and colocation end users, and we expect to remain heavily dependent on the hyperscale and colocation data center industry for the foreseeable future. Because our revenue is concentrated in a single industry, we are particularly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vulnerable to adverse developments affecting that sector and we have limited ability to offset a downturn in hyperscale and colocation demand with revenue from other end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end users’ investment priorities, including shifts in the level or focus of spending on cloud computing, AI, enterprise digitization or other technology projects, or in the types of facilities they deploy, may result in reduced demand or increased pricing pressure for certain of our offerings, even if overall technology spending remains robust. A broad slowdown in hyperscale and colocation capital spending, an oversupply of data center capacity, consolidation among hyperscale operators and colocation providers or changes in the way the industry procures and deploys white space infrastructure could each reduce demand for our offerings across our customer base.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do not currently derive meaningful revenue from industries outside of the data center sector, adverse developments affecting the hyperscale and colocation industry would have an outsized impact on our business, and we may be unable to redeploy our manufacturing capacity, engineering resources or workforce to other end markets on a timely basis or at all. Any such developments, or a reduced level of project awards across the industry, could materially and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backlog is subject to unexpected adjustments and cancellations and may not result in actual revenue or profits.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backlog represents the remaining unrecognized revenue on executed contracts and purchase orders, as well as letters of intent and notices to proceed with respect to purchase orders received in writing. Timing and conversion of backlog is subject to numerous risks and uncertainties and is not necessarily indicative of the amount of revenue to be earned in the upcoming fiscal year. As a result, we cannot guarantee that the revenue projected in our backlog will be realized or profitable or will not be subject to delay or suspension. As of March 31, 2026, our backlog was $650.4 million. Although terms are agreed upon for contract values, project cancellations, scope adjustments, deferrals or changes in customer phasing may occur with respect to contracts reflected in our backlog, which could reduce the dollar amount of our backlog and the revenue and profits that we actually earn. Additionally, amounts included in backlog may be subject to cancellation at a customer’s convenience without a significant corresponding cancellation penalty. Finally, poor project or contract performance could also impact our backlog and profits. Any of these occurrences could have an adverse effect on our ability to convert backlog into revenue, and ultimately have a negative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amounts included in our backlog may not result in revenue or generate profits in the amount we expect or on the timeframe we anticipate. Projects may remain in our backlog for an extended period of time, and the timing of our recognition of backlog is subject to a variety of factors, including project delays, changes in customer orders, external factors including power availability and availability of raw materials and macroeconomic conditions beyond our or our customers’ control. During periods of economic slowdown, the risk of projects being suspended, delayed or cancelled generally increases. Moreover, if we were to experience a significant number of cancellations or reductions in customer orders, it would reduce our backlog and, consequently, our revenues and results of operations. Delays in our backlog conversion may also lead to fluctuations in our results of operations from quarter to quarter, making it difficult to predict our financial performance on a quarterly basis. If our backlog fails to result in revenue in the amount we expect or on the timeframe we anticipate, we may not be able to achieve continued growth,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face intense and increasing competition and may be unable to compete effectively on speed-to-capacity, on-time delivery, customization, integration and price.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large data center infrastructure companies that can provide scaled manufacturing capacity and significant working capital to supply broad product and services solutions and manufacturing capacity for large programs. We also compete with regional specialists that target specific product niches. These competitors include large-scale, global companies as well as offering-specific competitors focused on a particular product or service segment who may apply targeted resources in ways that we do not, potentially leading to more competitive pricing. Some of our competitors may have greater resources than we do and could focus these resources on developing a competitive advantage. Smaller competitors may have a lower cost structure, or be able to adapt to the constantly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changing demand of the market more quickly. Our competitors may also offer services at prices below cost, devote significant sales resources to competing with us or attempt to recruit our key personnel by increasing compensation, any of which could improve their competitive positions.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Industry consolidation may also impact our competitive position by creating larger competitors in the markets in which we operate. As hyperscale and colocation customers increasingly concentrate spend with fewer, larger data center infrastructure partners that can offer scaled manufacturing capacity, nationwide installation capabilities and the financial capacity required to support working capital needs across multi-site, multi-year programs, the number of eligible suppliers for certain large programs may decrease. On certain large-scale campus buildouts, we compete in limited bidder sets, and if we are unable to maintain the manufacturing capacity, working capital or organizational sophistication required to participate in such programs, we may be excluded from significant revenue opportunities.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element of our competitive strategy is focused on delivering reliable, high-quality products and solutions with speed. However, if competitors develop comparable integrated delivery capabilities, increase their manufacturing capacity, improve lead times, invest in domestic manufacturing capacity, adopt more efficient delivery models or otherwise reduce the differentiation of our offerings, we may experience increased pricing pressure and loss of market share. In addition, if competitors are able to match or exceed our speed of execution, customers may have less incentive to select us or pay a premium for our offerings. If our offerings and cost structure do not enable us to compete successfully, or if we fail to differentiate on speed-to-capacity, reliability and integration, we may experience a decline in revenue and a corresponding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do not anticipate and adapt to rapid changes in data center technologies and architectures, demand for our offerings could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market landscape for data center construction and outfitting, as well as the underlying businesses of and industries served by our customers, are characterized by rapidly changing technology, evolving industry standards, frequent new service introductions, shifting distribution channels and changing customer demands. As a result, the infrastructure of our end-to-end solutions may become less marketable due to demand for new processes and technologies, including, without limitation: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processes to deliver power to, or eliminate heat from, IT equipment;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customer demand for additional redundant capacity;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technology that exceeds what our solutions are currently designed to provide;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an inability of the power supply to support new, updated or upgraded technology.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adapt to changing technologies or meet customer demands for new processes or technologies in a timely and cost-effective manner, if at all, which would adversely affect our revenues and results of operations. Our engineering and product roadmaps must keep pace with evolving data center technologies and architectures, increasing power densities and other rapid technological advancements, which require continuous updates to product designs and new product introductions. Our SkyBridge platform, branch circuit whips, RPPs, HD-RPPs, PDUs, related monitoring technologies and adjacent upstream power distribution products are designed for high-density environments, but challenges in adhering to customer specifications or standards could limit our customers’ adoption of our designs and integrations. Developments and other changes in energy and power requirements, compute architecture, energy efficiency or power conversion methods could result in reduced demand for certain categories of our products. In addition, continued developments in electrical distribution equipment could shift demand to products we do not currently offer, and the value of past designs may decline quickly as standards evolve, requiring additional engineering investment without certainty of a return on investment. If we fail to anticipate shifts in technology or market needs and opportunities, including rapid developments in the data center industry, or fail to develop new and improved offerings in a timely manner, we may not be able to compete effectively, and our revenues and financial condition may suffer.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new technologies and evolving industry standards have the potential to gain widespread acceptance, and either replace or provide potentially lower-cost alternatives to our current solutions. The adoption of such new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technologies could render some or all of the products and services we provide obsolete or unmarketable, or require us to significantly increase investment in developing or adopting new technologies or industry standards. We may be required to redesign products, retool manufacturing processes, obtain additional certifications, qualify new suppliers or incur significant engineering costs to satisfy changing customer requirements, and we may not be able to recover these costs through pricing. We cannot guarantee that we will be able to identify the emergence of all of these new service alternatives successfully, modify services accordingly or develop and bring new services to market in a timely and cost-effective manner to address these changes. If and when we identify the emergence of new product alternatives and introduce new services, those new services may need to be made available at lower price points than current services. Failure to provide solutions to compete with new technologies or the obsolescence of existing solutions could result in a loss of current and potential customers or could cause us to incur substantial and unexpected costs, which could reduce our revenues and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Changing industry standards as well as potential future regulations that apply to our operations and our data center customers’ operations may require further specific requirements which we or our customers may be unable to provide. These may include additional physical security and privacy and security regulations. If these regulations are adopted or extra requirements are demanded by our customers, we may lose certain customers or be unable to fulfill our contractual obligations under existing service arrangements.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 failure to secure new contracts may adversely affect our cash flows and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Further, when we are awarded contracts, we face additional risks that could affect whether, or when, work will begin. We could experience a decrease in profitability if we are unable to replace cancelled, completed or expired contracts with new work.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fail to identify, integrate and realize the expected benefits of acquisitions, our business and financial results could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2023, we have completed strategic acquisitions, including the acquisitions of Aura Energy, Earnest Solutions and SteelPro, to add manufacturing capacity and technical capabilities, and future acquisitions may continue to support our strategy. In particular, given the size of the SteelPro acquisition, our future results depend in part on our ability to integrate SteelPro’s operations, personnel, customer relationships, production capabilities, facilities and supplier base into our operations while maintaining the quality, speed and reliability expected by our customers. Successful growth through acquisitions depends upon our ability to identify suitable acquisition targets, conduct due diligence, negotiate transactions on favorable terms and ultimately complete such transactions and integrate the acquired target successfully. Acquisitions may expose us to significant risks and uncertainties, including competition for acquisition targets, which may lead to substantial increases in purchase price or terms that are less attractive to us; dependence on external sources of capital to finance the purchase price of acquisitions; an acquired company’s previous failure to comply with applicable regulatory requirements; failure to timely integrate an acquired company’s strategies, functions and products into our own; diversion of our management’s attention from existing operations to the acquisition and integration process; a failure to accurately predict or realize expected growth opportunities, cost savings, synergies or market acceptance of an acquired company’s products; a failure to identify material problems or liabilities during due diligence review; expenses, delays and difficulties in integrating acquired businesses into our existing businesses; and difficulties in retaining key customers and personnel.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integration of engineering, power product development, steel fabrication and field operations into our solutions is complex and may divert management attention from organic growth and customer execution. If we overestimate growth opportunities or cost savings, or if integration takes longer or costs more than anticipated, our margins and return on investment could be reduced. Additionally, our financial results could be adversely affected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unanticipated liability issues, transaction-related charges, integration costs, amortization related to intangibles and charges for impairment of long-lived assets due to diminished strategic benefits of integrated business or our failure to successfully integrate acquired capabilities into cohesive commercial offerings. Various assessments and assumptions regarding SteelPro and other acquisition targets may prove to be incorrect, and actual developments may differ significantly from our expectations.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indemnification rights in acquisition agreements may be limited, and former owners may be unable or unwilling to satisfy indemnity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acquisition agreements may include indemnification for certain pre-closing liabilities, such protections are typically subject to caps, baskets, time limitations, exclusions and the creditworthiness of the indemnitors. If indemnification is unavailable, insufficient or disputed, we could be responsible for remediation costs, third-party claims or compliance matters relating to pre-acquisition periods. Disputes regarding purchase price adjustments, earnouts or transition services can consume management time and result in legal and other expenses, and unresolved liabilities can delay the realization of integration benefits. Any such outcomes could adversely affect our financial condition and divert attention from our ongoing operations, which in turn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our cost management strategies, vertically integrated operating model and modular infrastructure platform do not yield the results and efficiencies we expect, our growth prospects, financial position and results of operations could suffer.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the large and rapidly growing data center infrastructure market, and take steps to improve quality, lead times and cost predictability through our vertically integrated model. If our initiatives do not scale as planned, if our growth is slower than anticipated, or if changes in production mix increase complexity faster than we are able to improve our processes, our costs could be higher than expected and our financial condition and results of operations could be adversely affected. Our failure to continually innovate and realize efficiencies as a result of our business model and initiatives could slow our growth, reduce our competitiveness on price and delivery timelines and materially adversely affect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modular infrastructure platform, including customer-specific modular systems, depends on increased adaptation and development of factory-assembled systems that shift substantial portions of traditionally field-built work into controlled manufacturing environments. However, insufficient design capabilities could result in the need to utilize more field resources than planned, potentially resulting in increased costs and delays in delivery timelines. Integration of new product lines and acquired capabilities requires cross-functional coordination among our engineering, manufacturing, supply chain and installation teams, and any failures in coordination can increase the potential for errors in specifications and lead to field remediation work and increased costs. Any of these factors could have a material adverse effect on our customer relationships, revenues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accelerating hyperscale demand, we continue to add production capacity, operational infrastructure and field resources, but ramping capacity requires effective commissioning, staffing and process stabilization. If new lines, facilities or suppliers come online more slowly than expected, the anticipation of customer demand does not materialize or if customer programs are delayed, our pipeline and backlog conversion, and revenue realization timing, may shift or our ability to recognize revenues may be negatively affected. Additionally, significant capital investment may be required to expand our business or meet increased demand, and if we fail to effectively deploy such capital, our returns and growth could be adversely affected. Any of these developments could materially adversely affect our growth prospects, business, financial condition and results of operations. Conversely, if we underestimate demand or fail to add capacity quickly enough, we may be unable to accept or timely fulfill customer orders, which could harm customer relationships and allow competitors to capture future opportunities.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Extended sales cycles for some of our offerings, combined with irregular customer ordering patterns, may result in significant quarter-to-quarter fluctuations in our revenue recognition and operating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long sales cycles for certain of our offerings, as well as unpredictable ordering patterns by customers, particularly for larger or longer-term projects, may cause our revenue recognition and operating results to vary significantly from quarter to quarter. A customer’s decision to purchase infrastructure solutions may involve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lengthy design, budgeting and qualification process. In addition, the exact timing of customer orders can vary significantly based on factors outside of our control, including permitting and construction delays, availability of specialized workers or contractors to install equipment, availability of financing for the project, availability of adequate power utilities and community acceptance. Consequently, our order booking and sales recognition process may be uncertain and unpredictable, with some customers placing large orders with short lead times on short advance notice and others requiring lengthy processes that may change depending on economic conditions or factors specific to the customer’s project. The variability of customer orders may cause our revenues and results of operations to vary unexpectedly from quarter to quarter, making our future results of operations less predictable. Any cancellation or deferral of our customers’ orders can also lead to downstream cancellation fees imposed by our vendors, or result in excess inventory and additional costs which, in combination with lost revenues on cancelled orders,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fixed-price or committed-schedule arrangements expose us to cost overruns and schedule penalties.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frequently commit to deliver our offerings to customer specifications within defined timelines, and increases in labor, materials or logistics costs can exceed our estimates. It is important for us to accurately estimate and control our contract costs so that we can maintain positive operating margins and profitability. Under fixed-price or committed-schedule contracts, we receive a fixed price irrespective of the actual costs we incur and, consequently, we are exposed to a number of risks. We realize a profit on such contracts only if we can control our costs and prevent cost overruns. Fixed-price contracts require cost and scheduling estimates that are based on a number of assumptions, including those related to future economic conditions, our overhead costs, the utilization and availability of labor, equipment and materials and other unknown factors. We could experience cost overruns if these estimates are originally inaccurate or become inaccurate as a result of a change in circumstances following the submission of the estimate. Design changes, interface risks in multi-party environments or site access constraints can raise execution costs, elevate the risk of field rework and compress margins on committed projects. Some of the specific risks associated with our fixed-price or committed-schedule arrangements include difficulties encountered on large-scale projects related to the procurement of materials or due to schedule disruptions, product performance failures or unforeseen site conditions; our inability to obtain compensation for additional work we perform or expenses we incur as a result of unanticipated technical issues or our customers providing deficient design, engineering information, products or materials, reliance on historical cost or execution data that is not representative of current conditions, including as a result of inflation and increases in labor and material costs, delays or productivity issues caused by weather conditions or other force majeure events and difficulties in engaging third-party subcontractors, product manufacturers or materials suppliers, or failures by such parties to perform, any of which could result in project delays and cause us to incur additional costs. Accounting for a contract requires judgment to evaluate the contract’s estimated risks, revenue, costs and other technical issues, and due to the size and nature of many of our contracts, the estimation of overall risk, revenue and cost at completion is subject to many variables. Changes in underlying assumptions, circumstances, or estimates may also adversely affect future period financial performance. As a result of one or more of these factors, we may incur losses, or contracts may not be as profitable as we expect, which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success depends on the continued service of our founders and key leaders and our ability to recruit and retain skilled engineers, technicians and electricians.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founder-led business and depend on experienced executives across operations, delivery, engineering, finance and other departments to execute and scale our integrated platform. Our co-founder and Chief Executive Officer, Michael Rubiera, has led Accelevation since its founding in 2017, and the loss of his services or those of other key leaders could materially impact our strategic direction and execution capabilities. We also recently hired a new Chief Financial Officer, Kenneth Krause. Our success will depend, in part, on our ability to integrate their leadership successfully into our organization. Integrating new key leaders can cause disruptions to processes, projects, priorities and culture, and new leaders may not perform as expected, may not fit culturally or may make changes that are not embraced by existing employees.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rely on our ability to continue to attract and retain engineers, designers, licensed electricians, installation technicians and manufacturing, field or other talent to meet demand and sustain our quality standards.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skilled labor is intense, particularly in data center construction markets, and higher wages or increased turnover could elevate costs and impair our ability to realize projects on the timelines or to the standards our customers expect. Our business may be adversely affected by temporary work stoppages, labor disputes and other matters associated with our labor force or the labor force of our customers, any of which could reduce our productivity, increase our costs or impair our ability to meet customer delivery commitments.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lose the services of key personnel or fail to maintain our core values and leadership as we grow, our operations and strategic initiatives could be adversely affected. Existing employees may not embrace new leaders, priorities, methods, processes or other changes, and any difficulty adjusting to leadership transitions could result in reduced productivity, employee departures, internal control deficiencies or disruption to financial reporting and other business processes. Inadequate staffing could also limit our ability to expand our product offerings, pursue further development opportunities in the rapidly scaling data center market, and support the customers and business programs that contribute to our growth.</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Rapid scaling of our operations requires significant investment in workforce development, operating infrastructure and cross-functional coordination, and any failures in these areas could increase costs and materially adversely affect our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scale, we must continue to invest in training programs, workforce development and operating infrastructure to sustain our current business outlook and growth objectives, while preserving flexibility, efficiency and responsiveness in our commercial operations and internal organization. If we fail to maintain our speed and reliability while scaling our business, or if we are unable to recruit and retain experienced leaders across our organizational structure, our ability to deliver on customer expectations may be negatively affected, which could cause our financial results to suffer. Rapid growth and scaling of operations to keep pace with the data center industry’s current trends and trajectory may also increase pressure on our internal teams and organizational structure, potentially requiring additional investment in hiring and operations and resulting in distractions to management’s time and attention, any of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manufacturing and field operations are subject to risks of equipment failure, capacity constraints, labor availability and safety incidents, including physical hazards inherent to our industry, that could delay deliveries and increase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footprint supports a wide range of product lines, including structures, containment and Power Products, and we must balance various priorities, including product integration, flexibility and quality as we scale to meet demand, including that of our hyperscale customers. Equipment failures, yield challenges on new products or commissioning delays on capacity additions can compress schedules and elevate overtime or expedite costs. A work stoppage, labor shortage or other production limitation affecting our manufacturing facilities and capabilities could materially adversely affect our reputation and market position. We depend on maintaining a skilled, safety-oriented workforce, supported by training initiatives such as our welder trainee program, and labor shortages or increased turnover could limit our capacity and execution quality. The impact of these risks is heightened if our production capacity is at or near full utilization and could result in our inability to accept orders or deliver products in a timely manner.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hazards related to our products and industry include, but are not limited to, electrocutions, power surges, arc flashes, fires, injuries involving ladders and machinery, installation errors, mechanical or structural failures and transportation accidents. These hazards can cause personal injury and loss of life, severe damage to or destruction of property and equipment and suspension of operations. While we have invested significant efforts in our safety programs in an effort to minimize safety risks, we may experience serious accidents in the future. Serious accidents may subject us to penalties or claims and extensive litigation. In addition, if our safety record were to substantially deteriorate over time, our customers could cancel our contracts or choose to not award us future business, which could have a material adverse effect on our business, financial condition, and results of operations.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supply chain strategy depends on both internal fabrication and third-party sources; shortages, quality issues, price increases, transportation disruptions or government trade actions affecting raw materials and components could harm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internally fabricate a growing share of components and assemblies but rely on external suppliers for a significant quantity of raw materials such as steel, aluminum, copper, electrical components, polycarbonate and fuel, and for third-party components including circuit breakers and electrical parts. Prices of these raw materials and components may be affected by supply constraints or other market factors from time to time, and we do not enter into hedging arrangements to mitigate commodity risk. Significant price changes for these raw materials and components could reduce our operating margins if we are unable to recover such increases from our customers and could harm our business, financial condition and results of operations. Any widespread shortage of raw materials can impede deliveries or require less efficient substitutions. Our reliance on third-party suppliers, service providers and commodity markets to secure raw materials and key components exposes us to volatility in the prices and availability of these materials. Commodity price increases for metals, cabling and other components can outpace our ability to reprice our products, resulting in increased costs that we may not be able to pass on to our customers. We operate in a supply constrained environment where we are facing, and may continue to face, supply-chain shortages, inflationary pressures, shortages of skilled labor, transportation and logistics challenges and manufacturing disruptions that could impact our revenues, profitability, cash flow and delivery schedules.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rely on our vendor partners to timely deliver equipment and raw materials used in connection with our operations, if any of our suppliers fail to deliver on a timely basis or perform the agreed-upon services, our ability to fulfill our obligations to our customers may be jeopardized and we may be required to purchase the supplies or services from another source at a higher price. To the extent we are unable to acquire equipment and materials at reasonable costs or if we experience significant delays in procurement, including as a result of material shortages, trade disputes, tariffs, supply chain disruptions or other factors, we could encounter increased material costs, delays in customer timelines and other negative effects on our business and operations. This may reduce the revenue to be realized on any particular project or result in a loss on a project, which could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constraints, allocations or quality issues at suppliers can delay production, increase costs or require redesigns, while commodity price volatility can pressure margins on fixed-price or committed schedules. Transportation disruptions can further extend lead times and increase costs, particularly for large modular assemblies intended to reduce on-site labor. We depend on multiple modes of transport to acquire components and materials used in our operations, and we are vulnerable to disruptions in transport and logistics activities due to weather-related problems, strikes, lockouts or inadequacy of roadways or port facilities. During transport and shipping, our products or their components and materials may become damaged, which could result in liability and reputational harm. Underperformance or failures to deliver by third-party suppliers could materially impact our ability to perform obligations to our customers, which could result in a customer terminating their contract with us, exposing us to liability and substantially impairing our ability to compete for future contracts and orders. Prolonged supply disruptions could also limit the expansion of our offering and modular infrastructure solutions. Any of these factors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rely on contractors and subcontractors to supplement our own capabilities and to conduct aspects of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in-house personnel, including trade professionals, technicians and other specialized labor, and where appropriate we supplement capacity with third parties, including temporary staffing agencies, which can result in variability of the availability of labor and other personnel, or the availability of reliable labor and personnel on a regular basis. Disruptions, delays, safety incidents or quality deficiencies by third parties can result in increased costs, including if we are required to invest additional resources into certain projects, and also lead to penalties or delays in timelines that could also contribute to increased costs that we may not be able to pass through to our customers. The ability of our teams to execute in the field also depends on site access and coordination with third parties throughout the project cycle, which can exacerbate the negative effects of project delays. Additionally, any inability to retain qualified third parties, or if our third parties do not perform in accordance with their obligations, may cause us to incur additional costs or experience delays in project execution, which could subject us to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contractual penalties. Any sustained issues in subcontractor or temporary employee performance, failure to retain, or disputes over changes in customer orders, could strain customer relationships and materially adversely affect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some locations, we rely on third-party staffing companies to provide us with contingent workers, and our failure to manage such workers effectively could have a material adverse effect on our business, financial condition and results of operations. We may in the future be exposed to various legal claims relating to the status of contingent workers, even if we are indemnified. We may also be subject to labor shortages, oversupply or fixed contractual terms relating to the contingent workforce, and our ability to manage the size of, and costs for, such contingent workforce may be further constrained by local laws or future changes to such laws. In addition, our customers may impose obligations on us with regard to our workforce and working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may have disputes with our subcontractors or temporary staffing agencies or employees arising from, among other things, the quality and timeliness of work performed by the subcontractor or employee, customer concerns or our failure to extend existing task orders under a subcontract. To the extent that we cannot subcontract or fulfill other staffing needs at reasonable costs or if we experience delays in the procurement of subcontractors and temporary employees, our ability to complete a project in a timely fashion or at a profit may be impaired.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third-party providers fail to comply with applicable wage and hour, safety, immigration, licensing or other legal requirements, we may be subject to claims, penalties or reputational harm, even where the underlying conduct is outside our direct control. Increased reliance on third parties may also make it more difficult to maintain consistent quality, safety culture and schedule discipline across customer sites.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 economic downturn, tighter financing conditions or pricing challenges could reduce demand for our products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Negative macroeconomic conditions, including volatility in interest rates, pricing pressures and rapid market growth may adversely impact our ability to operate our business or secure working capital, surety bonding and the credit support needed to support hyperscale programs. If AI-driven or cloud-driven demand decreases relative to current expectations, announced campus projects are resized or deferred or power-grid constraints lengthen schedules, our addressable opportunities may be reduced or shift into later periods. The level of new data center construction in the United States has been and continues to be sensitive to macroeconomic conditions, including U.S. GDP growth, interest rates, capital availability, energy prices and government spending, and reductions in demand often lead to greater price competition. Any sustained downturn in the U.S. or global economy could slow the growth of our manufacturing footprint and have a negative effect on our financial condition and results of operations, particularly if we maintain capacity and workforce levels based on prior demand expectations.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prices for data center infrastructure solutions have benefitted from strong demand dynamics over recent periods. If current demand levels are reduced, industry supply increases faster than demand or if our competitors add significant capacity, we may not be able to effectively price our products, or we may experience pricing pressure, which would have a negative impact on our results of operations. Additionally, a significant amount of our revenue relates to new data center construction projects, and if financing is not available, or is not available on favorable terms, for customers to complete such projects, there may be less demand for our products. We expect to continue to add capacity to meet growing demand for our offerings, and if the data center industry adds capacity faster than demand grows, we could experience increased price competition. If prices for our products decline, both our revenue growth and profit margins would be significantly impacted,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Geopolitical developments, trade policy shifts and macroeconomic volatility, including commodity price volatility, can disrupt supply chains, increase costs and affect customer investment decisions.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assemblies use significant quantities of raw materials, and tariffs, sanctions or trade restrictions affecting metals, electrical components or industrial equipment could increase input costs or reduce availability of raw materials, impairing our ability to meet our customers’ timelines or meet specified performance standards. When projects are priced under fixed or committed schedules, our ability to pass through cost increases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be limited, requiring us to absorb increased costs. Further, we and our customers are affected by general business and economic conditions in the United States and globally, including short-term and long-term interest rates, inflationary pressures, supply chain issues, money supply, fluctuations in debt and equity capital markets, broad trends in industry and finance, and prolonged periods of inflation and cost increases.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Geopolitical conflicts, including those in Ukraine, Iran, the Middle East and other regions, escalating tensions between China and Taiwan, and related logistics disruptions could lengthen shipping times for imported components or raw materials and elevate freight costs. The consequences of such conflicts, including sanctions, export controls and other measures imposed by the United States, the European Union and other countries, have caused and may continue to cause disruption and instability in global markets, supply chains and industries that could negatively impact our operations and financial performance. Trade restrictions, including new or increased tariffs or quotas, retaliatory tariffs or other retaliatory measures, border taxes, embargoes, safeguards and customs restrictions against certain components and materials, as well as labor strikes and work stoppages, could also increase the cost or reduce or delay the supply of raw materials and components available to us. Our procurement costs and the prices of raw materials and other components that we use in production may increase and be susceptible to significant fluctuations due to trends in supply and demand, commodity prices, currency exchange rates, transportation costs, government regulations and tariffs, price controls and economic conditions. Sustained tariff-related cost inflation could reduce our price competitiveness and delay customer decisions, particularly on large programs with tight budgets. Additionally, supply chain pressures and commodity price volatility could materially adversely affect our business, financial condition and results of operations in the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volatility can also affect customers’ financing and timing decisions for data center investment and may have an adverse effect on our ability to realize our backlog. Prolonged uncertainty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is subject to seasonal variations in operations and demand that affect construction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Adverse weather conditions, including rain, severe heat or cold, ice or snow, could delay our work and contribute to project inefficiency, negatively impacting our schedules and profitability, including by delaying the work of other trades on a construction site. Our installation services, which are performed in the field at customer data center sites, are particularly sensitive to weather-related disruptions and seasonal construction patterns. If we experience delays earlier in the construction or buildout timeline due to seasonal or weather factors, our delivery windows could become compressed and result in increased costs that we may not be able to pass onto our customers under our arrangements. In addition, cooler or hotter than normal temperatures could reduce demand for certain of our services during affected periods. These seasonal and weather-related variations may cause fluctuations in our quarterly or annual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Business disruption, natural disasters, public health events or other catastrophic events could materially disrupt our manufacturing operations, supply chain, field services or logistics and adversely affect our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design, manufacturing and installation activities executed across our physical locations in the United States and active customer sites in the field. Significant disruptions from severe weather, natural disasters, power outages, public health emergencies or other catastrophic events could impair our production capabilities and delivery schedules. Pandemics and similar public health events can affect labor availability in factories and field operations, disrupt supplier activities and restrict site access, resulting in delays and additional costs to execute our projects. Such events can also shift customer schedules and logistics availability, increasing the unpredictability of our ability to realize our backlog. Prolonged disruptions could harm our reputation for speed and reliability and materially affect our financial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disruption or extended interruption at one of our major hubs where we perform a significant portion of data center fabrication and component assembly, including our principal operating location in Dayton, Ohio and other key operating hubs in Ohio, Mississippi and Virginia, would delay project execution, reduce our ability to deliver products to our customers and potentially jeopardize our ability to meet customers’ expectations. Extreme weather conditions, including hurricanes, floods, tornadoes, wildfires and severe winter weather, have from time to time impacted, and may in the future have a negative impact on, our business, including by limiting the availability of resources, increasing our production and services costs, damaging property, disrupting our workforce or causing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projects to be delayed or cancelled. To the extent climate change results in an increase in extreme weather events or adverse weather conditions, the likelihood of a negative impact on our results of operations would increase.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installation services rely on access to customer sites and the availability of skilled technicians. Restrictions on on-site work, unsafe outdoor conditions or quarantines would increase costs and negatively affect revenues and results of operations. Our customers’ projects also depend on coordination among multiple third parties, so disruptions elsewhere in the supply chain can affect our schedules, elevate the risk of field remediation work and reduce our margins. Prolonged disruptions could undermine our reputation for speed and reliability, negatively affect our relationships with customers and potentially lead to claims or warranty exposure under delivery commitments. Any of these factors could cause a significant interruption in our or our customers’ business, damage or destroy our or our customers’ facilities or cause us to incur significant costs, which could in turn harm our business, financial condition and results of operations. The activities of our third-party vendors and other suppliers, manufacturers and business partners may be similarly disrupted. Any insurance we maintain against such risks may not be adequate to cover losses in any particular case, and such insurance may become increasingly expensive or unavailable.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Failure to adequately protect our intellectual property and other proprietary rights could adversely affect our business, results of operations, financial condition and future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intellectual property and other proprietary rights. We offer a patent-pending SkyBridge platform and have developed proprietary power distribution and monitoring features for high-density environments. We rely on patent, trademark and trade secret laws, as well as contractual provisions, to protect our intellectual property and other proprietary rights, including by entering into intellectual property assignment agreements and/or agreements containing confidentiality provisions with our employees and third parties who contribute to the development of our intellectual property and other proprietary rights and/or have access to our confidential information. However, our efforts to protect our intellectual property and other proprietary rights may afford only limited protection and may not prevent our competitors from duplicating our processes or technology, gaining access to our proprietary information or otherwise hindering our competitive advantage. For example, our pending patent applications may not successfully result in issued patents or provide us with significant competitive advantage. We also cannot provide any assurances that all confidentiality agreements with such employees and third parties have been duly executed or guarantee that such confidentiality agreements will be enforceable under applicable law. Furthermore, enforcing a claim that a party illegally disclosed or misappropriated trade secrets is difficult, expensive and time-consuming, and the outcome is unpredictable. If any of our trade secrets were to be lawfully obtained or independently developed by a competitor or other third party, we would have no right under trade secret laws to prevent them from using that technology or information to compete with us. Third parties may also challenge the validity, enforceability or scope, as well as our ownership rights or other rights to use, our intellectual property and other proprietary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 laws of some foreign jurisdictions do not protect intellectual property or other proprietary rights to the same extent as the laws of the United States, and enforcement of intellectual property and other proprietary rights would in any event be likely to involve material cost and expense and to materially divert the attention of our management team. If, either in the United States or in a foreign jurisdiction, we are unable to prevent unauthorized disclosure or use of our trade secrets or other uses or commercialization of our intellectual property or other proprietary rights, or if the costs of doing so would be excessive, our competitive position could be harmed, which could have an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need to defend ourselves against third-party claims that we are infringing, misappropriating or otherwise violating others’ intellectual property or other proprietary rights, which could divert management’s attention, cause us to incur significant costs and prevent us from selling or using the technology to which such rights relate.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could allege that our products or integrated assemblies infringe their patents or other intellectual property and other proprietary rights, and defending such claims can be costly, time-consuming and disruptive regardless of their merit. If we do not successfully defend or settle an intellectual property claim, we could face significant monetary damages and could be prohibited from continuing to use certain technology, or from making,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or incorporating certain components, features or capabilities into the products we offer. As a result, we could be forced to redesign our products or seek licenses from third parties, which could require us to pay significant royalties or licensing fees, which would ultimately result in increases to our operating expenses. If a license is not available, either on reasonable terms or at all, we may be required to develop or license a non-violating alternative, which could require significant effort and expense and undermine the competitiveness of our products. As a result, intellectual property claims against us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sufficient insurance at acceptable cost, and our insurance may not cover all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coverage that we believe is appropriate, coverage may be unavailable, insufficient or subject to increased premiums and deductibles. Certain types of losses, generally of a catastrophic nature, such as losses due to wars, acts of terrorism, severe weather events including earthquakes, floods or hurricanes, pollution and environmental conditions, may be either uninsurable or not economically insurable, or subject to limitations including large deductibles or sublimits. Accordingly, our insurance does not cover all types or amounts of liabilities. We may elect not to purchase insurance for certain business risks and expenses where we believe we can adequately address the anticipated exposure or where insurance coverage is either not available at all or not available on a cost-effective basis. External market conditions have resulted in an insurance market that is characterized by higher premiums, diminished capacity and more conservative underwriting, and such conditions may persist. Our third-party insurance is subject to deductibles, and we are effectively self-insured for typical claims up to those deductibles, and no assurance can be given that our insurance or our provisions for incurred claims will be adequate to cover all losses or liabilities we may incur in our operations. Large claims or multiple incidents could exceed policy limits or fall within exclusions, resulting in significant uninsured losses. A partially or completely uninsured claim, if successful and of significant magnitude, could have an adverse impact on our business and outlook. If any of our third-party insurers fail, suddenly cancel our coverage or otherwise are unable to provide us with adequate insurance coverage, then our overall risk exposure and operational expenses would increase. In addition, if we expand into new markets, we may not be able to obtain insurance coverage for these new activities. Increases in insurance costs would also raise our operating expenses.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Regulatory and Reputational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laws, regulations and standards applicable to our business could increase costs, constrain operations or delay projects.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a range of codes and standards relevant to our products and services, including a range of applicable electrical, safety and building codes and industry standards such as those set by the National Electrical Code (“NEC”) and UL, and changes can require design updates, process changes or re-certifications. Installation services must be performed by licensed electricians and trained technicians in applicable jurisdictions, and evolving licensure and safety standards can increase compliance costs. Building code and permitting changes can also affect customer project schedules and our ability to perform on our customers’ timelines and to their specifications. The cumulative impact of regulatory changes could increase costs and complexity and reduce our flexibility in product design and execution.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numerous federal, state and local laws and regulations in the jurisdictions in which we operate, including those relating to data privacy and security, employment and labor relations, construction and building maintenance, immigration, taxation, anti-corruption, import-export controls, trade restrictions and state and local licensing regulations. Although we have policies and procedures directed at complying with such laws, a violation of such laws could subject us and our employees to civil or criminal penalties, including substantial monetary fines, or other adverse actions, and could damage our reputation and our ability to do business. Furthermore, we and certain of our clients operate in regulated environments, which require us or our clients to obtain, maintain and comply with, federal, state and local government permits and approvals. These permits or approvals are subject to denial, revocation or modification under various circumstances. Failure to obtain, maintain or comply with the conditions of such permits or approvals subjects us to the risk of penalties, cessation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operations or other liabilities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AI-related legislation and regulation could disrupt our customers’ markets, resulting in declines in demand for our products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laws and governmental regulations, both in the United States and abroad, governing AI, machine learning, data privacy, cybersecurity and related digital infrastructure remain largely unsettled and are evolving rapidly. New or proposed AI-related laws and regulations, including executive actions, agency guidance or industry standards, as well as new applications of existing laws and regulations, could affect the development, deployment, financing or operation of AI workloads and the data centers that support them. Because a portion of current and expected demand for data center capacity is driven by AI training, interference and computing applications, laws and regulations that limit the use of AI or impose restrictions on AI models or training data may increase compliance obligations for AI developers or cloud service providers, restrict access to advanced chips, limit energy use by AI infrastructure or otherwise slow AI adoption, and therefore could reduce our customers’ capital expenditures or delay, resize or cancel data center projects. AI-related laws and regulations may also increase scrutiny of power usage, cooling requirements, environmental impacts, data security and critical infrastructure resiliency associated with AI data centers, which could increase permitting complexity and project costs for our customers. Current and future laws and regulations could therefore impose additional costs on our business, disrupt our customers’ markets or require us to make changes in our operations, any of which could adversely affect our operations and performance.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Product defects, installation errors or performance shortfalls could result in warranty claims, reputational harm and liability.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integrated assemblies are critical to our customers’ operations, and defects, performance issues or nonconformance can lead to disruptions and claims by our customers against us. We produce sophisticated and engineered solutions and provide specialized offerings and installation services for complex data center infrastructure projects, and a serious product or execution failure could result in a range of adverse outcomes, including data center downtime, widespread equipment damage, project delivery delays or other systemic issues, and could have an adverse effect on our business, reputation, financial position, cash flows and results of operations. Our regular testing and quality control efforts may not be effective in controlling or detecting all quality issues or errors, particularly with respect to faulty components manufactured by third parties.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or perceived design, production, performance or other quality issues related to new product introductions or existing product lines can result in direct warranty, maintenance and other claims for damages, including costs associated with project delays, repairs or replacements, some of which can be for significant amounts, and an inability to correct a product defect could result in the failure of a product line, temporary or permanent withdrawal from a product category or market, delays in customer payments, increased inventory costs and product reengineering expenses. Quality issues can also negatively impact customer satisfaction and sentiment, generate adverse publicity, reduce future sales opportunities and damage our reputation. Our customers’ installation projects are time-sensitive, and errors, remediation work or project delays can result in increased costs or negatively affect our reputation for speed and reliability. Significant claims could increase costs, reduce future awards and lead to higher insurance premiums or deductibles. Product liability and product recall insurance coverage is expensive and may not be available on acceptable terms, in sufficient amounts or at all, and we may not be able to limit or exclude liability for personal injury or property damage to third parties under the laws of all jurisdictions in which we do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become involved in legal proceedings and disputes arising from our operations, which could be costly and divert management attention.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face claims related to contracts, change orders, warranties, employment, acquisitions or other matters. From time to time, we are involved in lawsuits, regulatory proceedings, investigations, enforcement actions and other legal proceedings brought or threatened against us in the ordinary course of business. Our business is subject to the risk of claims involving current and former employees, customers, affiliates, subcontractors, suppliers, competitors, equity holders, government regulatory agencies or others through private actions, class actions,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whistleblower claims, administrative proceedings, regulatory actions or other proceedings. As a public company, we may face the risk of stockholder lawsuits and other related litigation, particularly if we experience declines in the trading price of our Class A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outcome of litigation, particularly class action lawsuits and regulatory actions, is often difficult to assess or quantify, as plaintiffs may seek injunctive relief or recovery of very large or indeterminate amounts, and the magnitude of the potential loss may remain unknown for substantial periods of time. We may be involved in commercial litigation or disputes where the initial amounts claimed by counterparties are large, even if ultimately our liability or a resolution of such claims is significantly lower. In addition, plaintiffs in many types of actions may seek punitive damages, civil penalties, consequential damages or other losses, or injunctive or declaratory relief. These proceedings or actions could result in substantial cost and may require us to devote substantial resources to defend ourselves and distract our management from the operation of our business. While we maintain insurance for certain potential liabilities, such insurance does not cover all types and amounts of potential liabilities and is subject to various exclusions as well as caps on amounts recoverable. We may therefore incur significant expenses defending any such suit or government charge and may be required to pay amounts or otherwise change our operations in ways that could materially adversely affect our business, financial condition, results of operations and cash flows.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obtain surety bonds, the unavailability of which could adversely affect our ability to operate, our cash flows and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obtain surety bonds to secure our performance under customer contracts and as part of fronting arrangements with our insurance carriers. As of March 31, 2026, we had outstanding surety bonds of $199.9 million. Our ability to obtain surety bonds primarily depends upon our credit rating, financial condition, past performance, interest rates fluctuations, government regulations and the capacity of the surety market and the underwriting practices of surety bond issuers. The ability to obtain surety bonds also can be impacted by the willingness of insurance companies to issue performance bonds for transportation activities. If we are unable to obtain surety bonds when required, our ability to operate could be restricted and our cash flows and results of operations would be adversely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our credit rating is significantly downgraded or if there is a deterioration in the surety market, the cost to obtain surety bonds may increase, or we may be required to post collateral to secure our surety bonds or to obtain additional surety bonds. We may be required to incur indebtedness, the proceeds of which would be used to cash collateralize such surety bonds, which would reduce our cash flows to reinvest in the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Misconduct or noncompliance by employees, subcontractors or other partners could expose us to legal, financial and reputational harm.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the integrity and compliance of our workforce and third parties across manufacturing and field operations. Misconduct, fraud or other improper activities caused by our employees’, subcontractors’, partners’, customers’, vendors’, or consultants’ failure to comply with laws or regulations could have a significant negative impact on our business. Such misconduct could include the failure to comply with environmental, health and safety regulations, laws or procedures regarding the protection of sensitive information, regulations on the pricing of labor and other costs in government contracts and anti-corruption and other applicable laws or regulations. We employ a large number of individuals on customer job sites where we provide installation services, and the actions of any such individuals could expose us to liability or reputational harm. As we integrate acquisitions and scale operations, maintaining consistent compliance culture, training and oversight becomes more challenging and requires continued investment. Our failure to comply with applicable laws, regulations or procedures, misconduct by any of our employees, subcontractors, partners or consultants, or our failure to make timely and accurate certifications regarding misconduct or potential misconduct could subject us to fines and penalties, cancellation of contracts, loss of eligibility and suspension or debarment from contracting with certain customers, any of which could materially adversely affect our business, financial condition and results of operations.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are subject to environmental, health and safety laws in our manufacturing facilities and at customer sites.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include metal fabrication, coating, assembly and installation, which involve environmental permitting, hazardous materials handling and workplace safety obligations. We are subject to federal, state and local environmental, health and safety laws and regulations, including those relating to the use, handling, generation, storage and disposal of hazardous materials, emissions and discharges of pollutants to the environment, remediation of contaminated soil and groundwater and occupational health and safety. Such laws and regulations may impose obligations and liabilities on us for the use or generation of chemicals contained in materials and products sourced in connection with our manufacturing and services operations, and if new or revised standards are adopted they may create additional liability, impact product design, manufacturing or servicing and materially adversely affect our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federal, state and local environmental laws may impose liability for property damage and costs of investigation and cleanup of hazardous or toxic substances at properties currently or previously owned, leased or operated by us or at third-party sites. These laws may impose responsibility and liability without regard to our knowledge of the presence of contaminants, and the liability under these laws may be joint and several. We currently own, lease and operate, and have formerly owned, leased and operated, facilities where industrial activities have occurred, and such industrial activities have resulted, and may in the future result, in contamination at some of these properties. Violations of, or liabilities under, these laws and regulations may result in restrictions being imposed on our operations or subject us to adverse publicity, substantial fines, penalties, criminal proceedings, third-party property damage or personal injury claims, cleanup costs or other costs. Under some circumstances, we could also be held liable for any damages resulting from our workforce’s occupational exposure to contamination or harmful chemicals associated with our manufacturing processes. Environmental, health and safety laws and regulations require us to obtain, maintain and renew environmental permits, licenses and approvals from governmental authorities, and these authorities can modify or revoke such permits and can enforce compliance by issuing orders and assessing fines.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environmental, health and safety laws and regulations, remediation obligations, enforcement actions, stricter interpretations of existing requirements, discovery of contamination or claims for damages could result in material costs and liabilities that we currently do not anticipate. Noncompliance or accidental releases could result in remediation costs, penalties or operational restrictions. We invest in training and safety culture, but as we scale and add facilities, sustaining quality environmental, health and safety performance requires continued focus and resources. Any perceived or actual employee safety issues could result in substantial fines, penalties or costs to us that may be material, harm our reputation or potentially affect our ability to continue operating in certain jurisdictions. Adverse environmental, health and safety incidents could harm our reputation and customer relationships.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and Tax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indebtedness and financing needs could limit our operational flexibility and increase our vulnerability to adverse business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investing in capacity, workforce and product development to support growth in our product offerings, which requires working capital and capital expenditures, and we may use debt financing to fund aspects of this strategy. As of June 30, 2026, we had approximately $651.5 million outstanding under our Term Loan Facility and no outstanding borrowings under our Revolving Credit Facility. We intend to use a portion of the net proceeds received by us from this offering to repay approximately $            million of outstanding borrowings under our Credit Agreement.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cash to make scheduled payments on the principal of, to pay interest on, or to refinance our indebtedness depends on our future performance, which is subject to economic, financial, competitive, legislative, regulatory and other factors beyond our control. Our business may not continue to generate sufficient cash flow from operations in the future and future borrowings may not be available to us in an amount sufficient to service our indebtedness, make necessary capital expenditures, complete acquisitions or fund our other liquidity needs. Higher debt levels increase interest expense, reduce financial flexibility and may constrain our ability to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invest in growth or pursue acquisitions. Deterioration in macroeconomic conditions, increased interest rates or underperformance could increase refinancing costs. If we cannot access capital on acceptable terms, including surety bonds or other credit support needed, we may need to slow expansion or reprioritize initiatives, which could materially adversely affect our growth.</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existing Credit Agreement imposes, and any future credit agreements may impose restrictive covenants that limit our ability to operate our business and pursue our strategy.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existing Credit Agreement includes, any future credit agreements may include, covenants restricting, among other things, additional indebtedness, liens, asset sales, investments, acquisitions and restricted payments, as well as financial maintenance requirements. These covenants may limit our ability to respond to business opportunities or changing market conditions and could require us to maintain liquidity buffers or reduce leverage through actions adverse to growth. A breach of covenants, if not cured or waived, could result in acceleration of indebtedness and enforcement of security interests. Complying with evolving capital needs while maintaining covenant compliance could increase our financing costs and reduce strategic flexibility.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incur impairment charges related to goodwill and other intangible assets arising from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completed multiple acquisitions to expand capacity and capabilities, which have resulted in recognition of goodwill and identifiable intangibles subject to impairment testing. We test goodwill for impairment at least annually, and assess intangible assets for impairment whenever events or changes in circumstances indicate that their carrying value may not be recoverable. If our acquisitions do not perform as expected, or if macroeconomic conditions, discount rates or outlook change, we may record impairment charges that could be material. Changes in market conditions, integration challenges, delays in commercializing acquired technologies, lower-than-expected synergies, declining financial performance or deterioration in our operational environment could also adversely affect fair value assessments. Future events or decisions may lead to asset impairments or related charges, and certain non-cash impairments may result from changes in our strategic goals, business direction or other factors relating to the overall business environment. Material impairment charges could materially adversely affect our results of operations for the periods recognized.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tax laws or their interpretation could increase our tax burden and adversely affect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taxes, and future changes in tax rates, regulations or administrative practices could increase our effective tax rate. As we integrate acquisitions and potentially consider limited international activities, the complexity of our tax profile may increase, elevating compliance costs and uncertainty. Adverse tax outcomes or audit adjustments could result in additional tax liabilities and interest.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have identified material weaknesses in our internal control over financial reporting, and if we are unable to remediate the material weaknesses, or if we fail to develop and maintain effective internal control over financial reporting, our ability to produce timely and accurate financial statements or comply with applicable laws and regulations could be impaired, which may adversely affect investor confidence in us and/or the value of our Class A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private company, we designed our management processes and related internal controls to meet the requirements of our private owners and were not required to evaluate our internal control over financial reporting in a manner that meets the standards of publicly traded companies required by Section 404(a) of the Sarbanes-Oxley Act. As we prepare to be effective as an SEC registrant, we are investing in our internal controls, specifically regarding the effective design and operation of internal control over financial reporting and the evaluation and management certification thereof in accordance with Sarbanes-Oxley Act rules. In conjunction with the preparation of our consolidated financial statements as of and for the years ended December 31, 2025 and 2024,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identified a material weakness in our entity-level controls related to governance, financial reporting oversight and risk assessment. Specifically, governance controls, including the formalization of oversight structures and responsibilities, are not sufficiently established or documented. In addition, we do not maintain a sufficient complement of personnel with accounting knowledge, experience and training to appropriately analyze, record and disclose certain accounting matters to provide reasonable assurance of preventing material misstatements. Additionally, management has not implemented a formal risk assessment that addresses risks relevant to financial reporting objectives, including fraud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have not designed, documented and maintained formal accounting policies, procedures and controls over significant accounts and disclosures to achieve complete, accurate and timely financial accounting, reporting and disclosures. Specifically, the deficiencies were identified related to: (i) preparation, review and approval of account reconciliations, journal entries and period-end close procedures, including appropriate segregation of duties; and (ii) significant accounting estimates and accruals.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not designed and maintained effective controls over information technology general controls for information systems that are relevant to the preparation of our consolidated financial statements. Specifically, deficiencies were identified related to: (i) user access controls, including inappropriate access provisioning and segregation of duties conflicts; (ii) change management controls over system implementations and modifications; and (iii) IT operations controls, including the monitoring and oversight of system activities.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material weaknesses described above could result in misstatements of our account balances and disclosures that would result in a material misstatement to the annual or interim consolidated financial statements that would not be prevented or detected.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remediate the material weaknesses through the development and implementation of processes and controls, both holistically and transactionally. We have begun the process of conducting a formal risk assessment and implementation of a plan to remediate these material weaknesses. These remediation measures are ongoing and include the following steps: hiring additional accounting and financial reporting personnel with appropriate technical accounting knowledge and public company experience in financial reporting; designing, documenting and implementing effective processes and controls over significant accounts and disclosures, establishment of formal accounting policies and procedures, financial reporting controls and controls to account for and disclose complex transactions; and designing, documenting, and implementing an IT General Controls framework to support the evaluation, monitoring and effectiveness of key application controls, access controls, program changes and key reports.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new controls are being designed and implemented, they have not operated for a sufficient period to demonstrate their effectiveness. Accordingly, if we are unable to remedy these or any future material weakness, our ability to produce timely and accurate financial statements or comply with applicable laws and regulations could be impaired, which may adversely affect investor confidence in us and, as a result, the value of our Class A common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qualify as an emerging growth company and may take advantage of reduced reporting requirements, which could make our stock less attractive to some investors.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we may provide reduced disclosures, delay adoption of new or revised accounting standards, and forgo certain governance-related votes, which may limit information available to investors. Electing these accommodations could make our Class A common stock less attractive to investors who prefer the additional information and safeguards afforded by full public company requirements. Loss of emerging growth company status will also increase our compliance obligations and associated costs.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and Information Technology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Cybersecurity incidents or data privacy breaches could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we collect, receive, use, store, and otherwise process certain data, including confidential or proprietary information and personal information of our employees, service providers, customers and business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contacts. Despite the security measures we have in place, our and our service providers’ systems may be vulnerable to security breaches, acts of vandalism, computer viruses or other malware, misplaced or lost data, programming and human errors or other similar events, and our employees, contractors or third parties with which we do business may purposefully or inadvertently cause a breach or other compromise of our systems and data, any of which could result in the accidental or intentional/unlawful destruction, loss, alteration, unauthorized disclosure or use of or access to such information. We and our service providers’ systems may also be vulnerable to interruption from hardware and software defects, misconfigurations or third-party technology failures. Any of the foregoing may pose risks to our security and the security of our customers’, partners’, suppliers’ and third-party service providers’ infrastructure, products, systems and networks, and the confidentiality, availability and integrity of our data.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perpetrators of such attacks become more sophisticated, including state or state-affiliated actors, and as critical infrastructure increasingly becomes digitized, the risks in this area continue to grow. Electronic security attacks designed to gain access to sensitive information by breaching mission-critical systems are constantly evolving, and high-profile electronic security breaches leading to unauthorized disclosures of confidential information have occurred at a number of major companies. The risk of cybersecurity attacks may further increase as AI capabilities improve and are increasingly used to identify vulnerabilities and construct increasingly sophisticated and complex attacks. As we scale our product offerings and integrate acquired capabilities, our cyber and IT risk profile expands and requires continuous investment in controls, monitoring, training and incident response. We also rely on software, hardware and other material components from third parties, and a material cyber incident resulting in a supplier’s prolonged inability to manufacture or ship such components could impact our ability to manufacture our products.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are continuing to develop and implement our cybersecurity risk management program and processes, there can be assurance that such program and processes will be fully implemented, complied with or effective in protecting our or our service providers’ data or information technology systems. A significant security breach or prolonged system disruption could lead to production downtime, loss of intellectual property, misappropriation of sensitive or confidential data, including the unauthorized release of personally identifiable information, reputational harm, contractual penalties, legal exposure, loss of business and incremental remediation costs, and could expose us to potential liability, including possible punitive damages. As a result, we could be subject to demands, claims and litigation by private parties and investigations, related actions and penalties by regulatory authorities. The costs associated with the investigation, remediation and potential notification of a breach to affected persons, customers, regulators and counterparties could have a negative effect on our business or results of operations. Compliance with evolving data protection and breach-notification requirements, including various and often overlapping federal, state and local privacy laws and regulations, including those relating to unauthorized access to, or use or disclosure of, personal information, may further increase operational complexity and cost.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Risks and uncertainties related to the development and use of AI may present business, compliance and reputational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AI in our business. For example, certain of our information technology platforms, such as Microsoft Copilot, contain embedded AI capabilities designed to support the productivity of our personnel. Recent technological advances in AI and machine-learning technology have presented opportunities for us to drive internal efficiencies in our business operations, but there can be no assurance that our use of AI will enhance our business or operations. Additionally, if we fail to keep pace with rapidly evolving technological developments in AI, our competitive position and business results may suffer, particularly if our competitors more effectively use AI to drive their business efficiencies or create new or enhanced products or services that we are unable to compete against in terms of cost, quality or other attributes. The introduction of AI technologies into internal processes or new and existing offerings may result in new or expanded risks and liabilities, including due to enhanced governmental or regulatory scrutiny, litigation, compliance issues, ethical concerns, confidentiality or security risks, intellectual property ownership issues, as well as other factors that could adversely affect our business, reputation and financial results. The use of AI may also give rise to risks related to harmful content, bias, false or “hallucinatory inferences or outputs” or other inaccuracies or errors in the output of such technologies. Furthermore, any confidential or personal information that is used to train or prompt or otherwise in connection with a third-party AI platform could become available to or benefit others, which could result in loss or theft of intellectual property or subject us to data privacy and cybersecurity risks.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technologies underlying AI and its uses are subject to a variety of rapidly evolving laws and regulations, including those relating to intellectual property, privacy, data protection and cybersecurity, consumer protection, competition and equal opportunity laws, and are expected to be subject to increased regulation and new laws or new applications of existing laws. The rapidly evolving legal and regulatory environment relating to AI, in the United States and globally, could impact our implementation of AI technology, increase compliance costs and increase the risk of non-compliance.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Disruptions or inefficiencies in our or our service providers’ IT and business systems could disrupt our business and reduce our revenue or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our and our service providers’ IT systems to manage many aspects of our business, including to operate and provide our products, process and record transactions, enable effective communication systems and manage engineering changes, supply chain, procurement and scheduling, logistics and financial controls. We are dependent on the integrity, security and consistent operations of these systems and errors, interruptions or outages, which may result from a variety of causes (including power outages, security breaches, viruses or other defects, catastrophic natural events, acts of war or terrorism and errors or misconduct by employees or contractors) can cascade across functions.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integrate acquired businesses and add product lines, we must ensure data consistency and process alignment to maintain accurate quoting, order fulfillment and cost tracking. If system implementations or upgrades take longer or cost more than expected, or if data quality issues persist across systems, our ability to scale efficiently and maintain internal controls could be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material compromises, interruptions, shutdowns or other deficiencies of our or our service providers’ systems could result in delays or other interruptions in our business operations, including production delays, inventory imbalances, or inaccurate financial information, any of which could harm our business and reputation, and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Failure to comply with current or future laws, regulations and industry standards relating to privacy, data protection and consumer protection could materially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regulations and industry standards that govern the collection, use, processing, retention, sharing and security of personal and confidential data. A variety of federal, state and foreign laws and regulations govern these areas, and the legal and regulatory environment related to privacy, data protection and consumer protection is increasingly rigorous, with new and constantly changing requirements applicable to our business. Any current or future laws and regulations relating to privacy, data protection and consumer protection, as well as any changes to existing laws and regulations, could impose significant limitations on our business, require changes to our business or restrict our use or storage of personal and confidential data, any of which may increase our compliance expenses and make our business more costly or less efficient to conduct.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U.S. state privacy, data protection and consumer protection laws and regulations, such as the California Consumer Privacy Act, as amended by the California Privacy Rights Act, set forth comprehensive privacy and security obligations regarding the collection and processing of personal data, and these laws and regulations may require us to modify our data processing practices and policies, incur substantial compliance-related expenses and otherwise adversely affect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scale our operations and integrate acquisitions, the scope and complexity of data we process may increase, heightening the risk of data breaches or noncompliance, whether actual or perceived. Any failure or perceived failure to comply with applicable privacy, data protection or consumer protection laws and regulations, or any security incident involving the misappropriation, loss or other unauthorized processing of sensitive or confidential information, whether by us, one of our third-party service providers or another third party, could have a material adverse effect on our business, financial condition, results of operations, reputation and customer relationships, including by subjecting us to negative publicity, potential loss of business and legal proceedings (including class actions) or other actions by individuals or governmental authorities.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principal asset is our interest in Holdings LLC, and, accordingly, we depend on distributions from Holdings LLC to pay our taxes and expenses, including payments under the Tax Receivable Agreement. Holdings LLC’s ability to make such distributions may be subject to various limitations and restrictions.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have no material assets other than our ownership of equity interests in Holdings LLC. As such, we have no independent means of generating revenue or cash flow, and our ability to pay our taxes, satisfy our obligations under the Tax Receivable Agreement and pay operating expenses or declare and pay dividends, if any, in the future depends on the financial results and cash flows of Holdings LLC and its subsidiaries and distributions we receive from Holdings LLC. There can be no assurance that Holdings LLC and its subsidiaries will generate sufficient cash flow to distribute funds to us or that applicable state law and contractual restrictions, including negative covenants in debt instruments of Holdings LLC and its subsidiaries, will permit such 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Holdings LLC is treated as a partnership for U.S. federal income tax purposes and, as such, is not subject to any entity-level U.S. federal income tax. For U.S. federal income tax purposes, taxable income of Holdings LLC is allocated to the LLC Unitholders, including us. Accordingly, we incur income taxes on our distributive share of any net taxable income of Holdings LLC. Under the terms of the LLC Operating Agreement, Holdings LLC is obligated to make tax distributions to the LLC Unitholders, including us. In addition to tax and dividend payments, we also incur expenses related to our operations, including obligations to make payments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that Holdings LLC has available cash, we intend to cause Holdings LLC to make cash distributions to the owners of LLC Units, including us, in amounts sufficient to (i) fund all or part of their tax obligations in respect of taxable income allocated to them and (ii) cover our operating expenses, including payments under the Tax Receivable Agreement. Funds used by Holdings LLC to satisfy its tax distribution obligations will not be available for reinvestment in our business. Moreover, these tax distributions in certain periods are likely to exceed Accelevation Holdings Corp.’s tax liabilities and obligations to make payments under the Tax Receivable Agreement. Our Board will determine the appropriate uses for any excess cash so accumulated, which may include, among other uses, dividends, repurchases of our Class A common stock, repurchases of LLC Units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(x) any cash distribution by us or (y) any cash that we retain and do not distribute to stockholders. To the extent that we do not distribute such excess cash as dividends on our Class A common stock and instead, for example, hold such cash balances or lend them to Holdings LLC, holders of LLC Units would benefit from any value attributable to such cash balances as a result of their ownership of Class A common stock following an exchange of their LLC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Holdings LLC’s ability to make such distributions may be subject to various limitations and restrictions, such as restrictions on distributions that would violate any contract or agreement to which Holdings LLC or its subsidiaries is then a party, including debt agreements, or any applicable law, or that would have the effect of rendering Holdings LLC or its subsidiaries insolvent. In addition, pursuant to the Bipartisan Budget Act of 2015, effective for taxable years beginning after December 31, 2017, the U.S. Internal Revenue Service (“IRS”) may impute liability for adjustments to a partnership’s tax return on the partnership itself in certain circumstances, absent an election to the contrary. Holdings LLC may be subject to material liabilities pursuant to this legislation and related guidance if, for example, its calculations of taxable income are incorrect. To the extent that we are unable to make payments under the Tax Receivable Agreement, such payments generally will be deferred and will accrue interest until paid.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Conflicts of interest could arise between our stockholders and the LLC Unitholders, which may impede business decisions that could benefit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LLC Unitholders, who will be the only holders of LLC Units other than us upon consummation of this offering, have the right to consent to certain amendments to the LLC Operating Agreement, as well as to certain other matters. The LLC Unitholders may exercise these rights in a manner that conflicts with the interests of our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stockholders. Circumstances may arise in the future when the interests of the LLC Unitholders conflict with the interests of our stockholders. As we control Holdings LLC, we have certain obligations to the LLC Unitholders that may conflict with the fiduciary duties that our officers and directors owe to our stockholders. These conflicts may result in decisions that are not in the best interests of our stockholders.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Tax Receivable Agreement requires us to make cash payments to the LLC Unitholders in respect of certain tax benefits to which we may become entitled, and we expect that the payments we will be required to make will be substantial.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Tax Receivable Agreement, we will be required to make cash payments to the TRA Rights Holders equal to           % of certain tax savings (calculated using certain assumptions), if any, that we actually realize, or, in some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We retain the benefit of the remaining           % of these cash savings, if any. If the Tax Receivable Agreement terminates early, we could be required to make a substantial, immediate lump-sum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the payments we may make under the Tax Receivable Agreement could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 actual amounts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the assumed combined state and local tax rate), the amount and timing of the taxable income that we generate in the future and the extent to which future exchanges or purchases of LLC Units are taxable transactions. See “Organizational Structure—Tax Receivable Agreement” and “Certain Relationships and Related Party Transactions—Tax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determine, which tax reporting positions will be based on the advice of our tax advisors. Any payments made by us to the TRA Rights Holders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not conditioned upon the TRA Rights Holders maintaining a continued ownership interest in Holdings LLC or us. There is no maximum term for the Tax Receivable Agreement, and the obligation to make payments to the TRA Rights Holders will terminate when all tax benefits payable to the TRA Rights Holders under the Tax Receivable Agreement have been paid in full.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TRA Rights Holders will not reimburse us for any payments previously made if such tax basis increases or other tax benefits are subsequently disallowed by the IRS. Such amounts may reduce our future obligations, if any, under the Tax Receivable Agreement; however, a challenge to any tax benefits initially claimed by us may not arise for a number of years following the initial time of such payment or, even if challenged early,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such excess cash payment may be greater than the amount of future cash payments, if any, we might otherwise be required to make under the terms of the Tax Receivable Agreement and, as a result, there might not be future cash payments from which to net against. As a result, in such circumstances we could make payments to the TRA Rights Holders under the Tax Receivable Agreement that are greater than our actual cash tax savings and may not be able to recoup those payments, which could negatively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because we are a holding company with no operations of our own, our ability to make payments under the Tax Receivable Agreement is dependent on the ability of Holdings LLC to make distributions to us. We currently anticipate that Holdings LLC will use cash flows generated from our operations to fund tax distributions to us to enable us to make any required payments under the Tax Receivable Agreement. Our obligations under the Tax Receivable Agreement will also apply with respect to any person that becomes a party to the Tax Receivable Agreement in the future.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amounts that we may be required to pay to the TRA Rights Holders under the Tax Receivable Agreement may be accelerated in certain circumstances and may also significantly exceed the actual tax benefits that we ultimately realize.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Tax Receivable Agreement terminates early, we could be required to make a substantial, immediate lump-sum payment. The Tax Receivable Agreement provides that (i) in the event that we breach any of our material obligations under the Tax Receivable Agreement, (ii) upon certain changes of control or (iii) if, with the written approval of a majority of our independent directors, we elect an early termination of the Tax Receivable Agreement, our obligations under the Tax Receivable Agreement (whether or not all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attributes subject to the Tax Receivable Agreement. These provisions in the Tax Receivable Agreement may result in situations where the TRA Rights Holders have interests that differ from or are in addition to those of our other stockholders.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our obligations under the Tax Receivable Agreement.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not be able to realize all or a portion of the tax benefits that are currently expected to result from the tax attributes covered by the Tax Receivable Agreement and from payments made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realize the tax benefits that we currently expect to be available as a result of the attributes covered by the Tax Receivable Agreement, the payments made pursuant to the Tax Receivable Agreement, and the interest deductions imputed under the Tax Receivable Agreement all depend on a number of assumptions, including that we earn sufficient taxable income each year during the period over which such deductions are available and that there are no adverse changes in applicable law or regulations. Additionally, if our actual taxable income were insufficient or there were additional adverse changes in applicable law or regulations, we may be unable to realize all or a portion of the expected tax benefits and our cash flows and stockholders’ equity could be negatively affected. See “Organizational Structure—Tax Receivable Agreement.”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 certain circumstances, Holdings LLC will be required to make distributions to us and the LLC Unitholders, and these distributions may be substantial.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Holdings LLC is treated as a partnership for U.S. federal income tax purposes and, as such, is not subject to U.S. federal income tax. Instead, taxable income is allocated to its members, including us. To the extent Holdings LLC has available cash, we intend to cause Holdings LLC to make tax distributions to the LLC Unitholders (including us), generally on a pro rata basis based on Holdings LLC’s net taxable income. Funds used by Holdings LLC to satisfy its tax distribution obligations will not be available for reinvestment in our business. Moreover, these tax distributions may be substantial, and will likely exceed (as a percentage of Holdings LLC’s income) the overall effective tax rate applicable to a similarly situated corporate taxpayer. As a result, it is possible that we will receive distributions significantly in excess of our tax liabilities and obligations to make payments under the Tax Receivable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Agreement. While our Board may choose to distribute such cash balances as dividends on our Class A common stock, they will not be required to do so, and may in their sole discretion choose to use such excess cash for any purpose depending upon the facts and circumstances at the time of determination. See “Dividend Policy.”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Unanticipated changes in effective tax rates or adverse outcomes resulting from examination of our income or other tax returns could adversely affect our operating results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various jurisdictions. Our tax liabilities will be subject to the allocation of expenses in differing jurisdictions. Our future effective tax rates could be subject to volatility or adversely affected by a number of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expected timing and amount of the release of any tax valuation allowances;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expiration of, or detrimental changes in, R&amp;D tax credit laws;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tax laws, regulations or interpretations thereof.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may be subject to audits of our income, revenue and other transaction taxes by U.S. federal, state, local and foreign authorities. Outcomes from these audits could have an adverse effect on our operating results and financial condition.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of 1940, as amended (the “1940 Act”), applicable restrictions could make it impractical for us to continue our business as contemplated and could have an adverse effect on our business, financial condition, results of operations, cash flows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1940 Act, a company generally will be deemed to be an “investment company” for purposes of the 1940 Act if it (i) is, or holds itself out as being, engaged primarily, or proposes to engage primarily, in the business of investing, reinvesting or trading in securities or (ii)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sole managing member of Holdings LLC, we will control and manage Holdings LLC. On that basis, we believe that our interest in Holdings LLC is not an “investment security” under the 1940 Act. Therefore, we have less than 40% of the value of our total assets (exclusive of U.S. Government securities and cash items) in “investment securities.” However, if we were to lose the right to manage and control Holdings LLC, interests in Holdings LLC could be deemed to be “investment securities” under the 1940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conduct our operations so that we will not be deemed to be an investment company. However, if we were deemed to be an investment company, restrictions imposed by the 1940 Act, including limitations on our capital structure and our ability to transact with affiliates, could make it impractical for us to continue our business as contemplated and could have a material effect on our business, financial condition, results of operations, cash flows and prospects.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Class A Common Stock and This Offering</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and distract our management, which could make it difficult to manage our business, particularly after we are no longer an “emerging growth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will incur incremental legal, governance, accounting and other expenses. We will become subject to the reporting requirements of the Exchange and the Sarbanes-Oxley Act, the listing requirements of                  and other applicable securities rules and regulations. Compliance with these rules and regulations will increase our legal and financial compliance costs, make some activities more difficult, time-consuming or costly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increase demand on our systems and resources, particularly after we are no longer an “emerging growth company.” The Exchange Act requires that we file annual, quarterly and current reports with respect to our business, financial condition, results of operations, cash flows and prospects.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results of operations, cash flows and prospects.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These additional obligations could have an adverse effect on our business, financial condition, results of operations, cash flows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which could have an adverse effect on our business, financial condition, results of operations, cash flows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Olympus controls us, and its interests may conflict with ours or yours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following this offering, investment entities affiliated with Olympus will control approximately          % of the voting power of our outstanding common stock, or          % if the underwriters exercise their option to purchase additional shares in full, which means that, based on its percentage voting power controlled after the offering, Olympus will control the vote of all matters submitted to a vote of our stockholders. This control will enable Olympus to control the election of the members of our Board and all other corporate decisions. Even when Olympus ceases to control a majority of the total voting power, for so long as Olympus continues to own a significant percentage of our common stock, Olympus will still be able to significantly influence the composition of our Board and the approval of actions requiring stockholder approval. Accordingly, for such period of time, Olympus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Olympus continues to own a significant percentage of our common stock, Olympus will be able to cause or prevent a change of control of us or a change in the composition of our Board and could preclude any unsolicited acquisition of us. This concentration of ownership could deprive you of an opportunity to receive a premium for your shares of Class A common stock as part of a sale of us and ultimately might affect the market price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this offering, we will enter into a Director Nomination Agreement with Olympus that provides Olympus the right to nominate to the Board a number of designees equal to at least: (i) 100% of the total number of directors comprising the Board, so long as Olympus beneficially owns shares of Class A common stock and Class B common stock representing at least           % of the total amount of shares of Class A common stock and Class B common stock it beneficially owns as of the date of this offering (the “Original Amount”), (ii)            % of the total number of directors, in the event that Olympus beneficially owns shares of Class A common stock and Class B common stock representing at least           % but less than           % of the Original Amount, (iii)            % of the total number of directors, in the event that Olympus beneficially owns shares of Class A common stock and Class B common stock representing at least           % but less than           % of the Original Amount, (iv)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 of the total number of directors, in the event that Olympus beneficially owns shares of Class A common stock and Class B common stock representing at least           % but less than           % of the Original Amount and (v) one director, in the event that Olympus beneficially owns shares of Class A common stock and Class B common stock representing at least           % of the Original Amount, in each case with respect to fractional amounts, rounded up to the nearest whole number. The Director Nomination Agreement will also provide that Olympus may assign such right to an Olympus affiliate. The Director Nomination Agreement will prohibit us from increasing or decreasing the size of our Board without the prior written consent of Olympus.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Olympus and its affiliates engage in a broad spectrum of activities, including investments in our industry generally. In the ordinary course of their business activities, Olympus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certificate of incorporation to be effective at or prior to the consummation of this offering will provide that none of Olympus,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Olympus also may pursue acquisition opportunities that may be complementary to our business, and, as a result, those acquisition opportunities may not be available to us. In addition, Olympus may have an interest in pursuing acquisitions, divestitures and other transactions that, in its judgment, could enhance its investment, even though such transactions might involve risks to you or may not prove beneficial.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Upon listing of our shares of Class A common stock on                     , we will be a “controlled company” within the meaning of the rules of                     and, as a result, we will qualify for, and intend to rely on, exemptions from certain corporate governance requirements. You will not have the same protections as those afforded to stockholders of companies that are subject to such governance requirements.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completion of this offering, Olympus will continue to control a majority of the voting power of our outstanding common stock. As a result, we will be a “controlled company” within the meaning of the corporate governance standards of                    . Under these rules, a company of which more than 50% of the voting power for the election of directors is held by an individual, group or another company is a “controlled company” and may elect not to comply with certain corporate governance requirements,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a majority of our Board consist of independent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we have a nominating and corporate governance committee that is composed entirely of independent directors with a written charter addressing the committee’s purpose and responsibilities;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we have a compensation committee that is composed entirely of independent directors with a written charter addressing the committee’s purpose and responsibilities;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for an annual performance evaluation of the nominating and corporate governance and compensation committees.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we intend to utilize these exemptions. As a result, we may not have a majority of independent directors on our Board, our compensation and nominating committee may not consist entirely of independent directors and our compensation and nominating committee may not be subject to annual performance evaluations. Accordingly, you will not have the same protections afforded to stockholders of companies that are subject to all of the corporate governance requirements of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allocate the net proceeds from this offering in ways that you and other stockholders may not approve.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from this offering, including for any of the purposes described in “Use of Proceeds.” Because of the number and variability of factors that will determine our use of the net proceeds from this offering, their ultimate use may vary substantially from their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As a result of becoming a public company,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effective, which may adversely affect investor confidence in us and, as a result, the value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We are in the very early stages of the costly and challenging process of compiling the system and processing documentation necessary to perform the evaluation needed to comply with Section 404 of the Sarbanes-Oxley Act. We may not be able to complete our evaluation and testing and remediation prior to becoming a public company or in a timely manner thereafter. If we are unable to assert that our internal control over financial reporting is effective, we could lose investor confidence in the accuracy and completeness of our financial reports, which could cause the price of our Class A common stock to decline, and we may be subject to investigation or sanctions by the SEC.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10-K. This assessment will need to include disclosure of the material weaknesses identified in our internal control over financial reporting. We will also be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the filing of our second Annual Report on Form 10-K required to be filed with the SEC. At such time, our independent registered public accounting firm may issue a report that is adverse in the event it is not satisfied with the level at which our controls are documented, designed or operating.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existence of the material weaknesses in internal control over financial reporting we identified may require management to devote significant time and incur significant expense to remediate the material weaknesses, and management may not be able to remediate the material weaknesses in a timely manner. The existence of the material weaknesses in our internal control over financial reporting could also result in errors in our financial statements that could require us to restate our financial statements and cause us to fail to meet our reporting obligations, and may cause stockholders to lose confidence in our reported financial information, all of which could materially and adversely affect our business and the price of our Class A common stock. To comply with the requirements of being a public company, we may need to undertake various costly and time-consuming actions, such as implementing new internal controls and procedures and hiring accounting or internal audit staff which may adversely affect our business, financial position and results of operations. See “Risk Factors—Financial and Tax Risks— We have identified material weaknesses in our internal control over financial reporting, and if we are unable to remediate the material weaknesses, or if we fail to develop and maintain effective internal control over financial reporting, our ability to produce timely and accurate financial statements or comply with applicable laws and regulations could be impaired, which may adversely affect investor confidence in us and/or the value of our Class A common stock.”</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expect to elect to comply with reduced public company reporting requirements, which could make our Class A common stock less attractive to investors.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stockholder approval of any golden parachute payments not previously approved. We could be an emerging growth company for up to five years after the first sale of our Class A common stock pursuant to an effective registration statement under the Securities Act. However, if certain events occur prior to the end of such five-year period, including if we become a “large accelerated filer,” our annual gross revenue exceeds $1.235 billion or we issue more than $1.0 billion of non-convertible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As a result, the information that we provide to holders of our common stock may be different than you might receive from other public reporting companies in which you hold equity interests. We cannot predict if investors will find our Class A common stock less attractive as a result of reliance on these exemptions. If some investors find our Class A common stock less attractive as a result of any choice we make to reduce disclosure, there may be a less active trading market for our Class A common stock and the market price for our Class A common stock may be more volatile.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JOBS Act also permits an emerging growth company like us to take advantage of an extended transition period to comply with new or revised accounting standards applicable to public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Provisions of our corporate governance documents could make an acquisition of us more difficult and may prevent attempts by our stockholders to replace or remove our current management, even if beneficial to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Olympus’ beneficial ownership of          % of our common stock after this offering (or          % if the underwriters exercise their option to purchase additional shares in full), our certificate of incorporation and bylaws to be effective at or prior to the consummation of this offering and the Delaware General Corporation Law (the “DGCL”) contain provisions that could make it more difficult for a third party to acquire us, even if doing so might be beneficial to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things, these provisions: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for a classified board of directors with staggered three-year terms;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that, at any time when Olympus controls, in the aggregate, less than          % of the outstanding shares of our Class A common stock, directors may only be removed for cause, and only by the affirmative vote of holders of at least 66 2/3% in voting power of all the then-outstanding shares of our stock entitled to vote thereon, voting together as a single class;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prohibit stockholder action by written consent from and after the date on which Olympus controls, in the aggregate, less than          % in voting power of our stock entitled to vote generally in the election of directors;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that for as long as Olympus controls, in the aggregate, at least          % in voting power of our stock entitled to vote generally in the election of directors, any amendment, alteration, rescission or repeal of our bylaws by our stockholders will require the affirmative vote of a majority in voting power of the outstanding shares of our capital stock and at any time when Olympus controls, in the aggregate, less than          % in voting power of all outstanding shares of our stock entitled to vote generally in the election of directors, any amendment, alteration, rescission or repeal of our bylaws by our stockholders will require the affirmative vote of the holders of at least 66 2/3% in voting power of all the then-outstanding shares of our stock entitled to vote thereon, voting together as a single class;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elections to our Board or for proposing matters that can be acted upon by stockholders at stockholder meetings; provided, however, at any time when Olympus controls, in the aggregate, at least          % in voting power of our stock entitled to vote generally in the election of directors, such advance notice procedure will not apply to Olympus.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opt out of Section 203 of the DGCL (“Section 203”), which generally prohibits a Delaware corporation from engaging in any of a broad range of business combinations with any interested stockholder for a period of three years following the date on which the stockholder became an interested stockholder. However, our certificate of incorporation to be effective in connection with the closing of this offering will contain a provision that provides us with protections similar to Section 203, and will prevent us from engaging in a business combination with a person (excluding Olympus and any of its direct or indirect transferees and any group as to which such persons are a party) who acquires at least 85% of our common stock for a period of three years from the date such person acquired such common stock, unless board or stockholder approval is obtained prior to the acquisition. See “Description of Capital Stock—Anti-Takeover Provisions.”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Class A common stock. In addition, because our Board is responsible for appointing the members of our management team, these provisions could in turn affect any attempt by our stockholders to replace current members of our management team.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provisions in our certificate of incorporation, bylaws and Delaware law could make it more difficult for stockholders or potential acquirers to obtain control of our Board or initiate actions that are opposed by our then-current Board, including actions to delay or impede a merger, tender offer or proxy contest involving the Company. The existence of these provisions could negatively affect the price of our Class A common stock and limit opportunities for you to realize value in a corporate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regarding these and other provisions, see “Description of Capital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will designate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certificate of incorporation, which we will adopt at or prior to the consummation of this offering, unless we consent in writing to the selection of an alternative forum, the Court of Chancery of the State of Delaware will be the sole and exclusive forum for any claims in state court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our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will further provide that any person or entity purchasing or otherwise acquiring any interest in shares of our capital stock is deemed to have notice of and consented to the provisions of our certificate of incorporation described above. However, our stockholders will not be deemed to have waived (and cannot waive) compliance with federal securities laws and the rules and regulations thereunder. See “Description of Capital Stock—Forum Selection.” The forum selection provisions in our certificate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you purchase shares of Class A common stock in this offering, you will suffer immediate and substantial dilution of your investment.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public offering price of our Class A common stock is substantially higher than the net tangible book value per share of our Class A common stock. Therefore, if you purchase shares of our Class A common stock in this offering, you will pay a price per share that substantially exceeds our net tangible book value per share after this offering. Based on an assumed initial public offering price of $                    per share, which is the midpoint of the estimated public offering price range set forth on the cover page of this prospectus, you will experience immediate dilution of $                    per share, representing the difference between our pro forma net tangible book value per share at                     , 2026 after giving effect to this offering and the initial public offering price. In addition, purchasers of Class A common stock in this offering will have contributed          % of the aggregate price paid by all purchasers of our Class A common stock but will own only approximately          % of our Class A common stock outstanding after this offering. See “Dilution” for more detail.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 active, liquid trading market for our Class A common stock may not develop, which may limit your ability to sell your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this offering, there was no public market for our Class A common stock. Although we intend to apply to list our Class A common stock on                    under the trading symbol “                      ,” an active trading market for our Class A common stock may never develop or, if developed, be sustained following this offering. The initial public offering price will be determined by negotiations between us and the underwriters and may not be indicative of market prices of our Class A common stock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an adverse effect on the value of our Class A common stock. The market price of our Class A common stock may decline below the initial public offering price, and you may not be able to sell your shares of our Class A common stock at or above the price you paid in this offering, or at all. An inactive market may also impair our ability to raise capital to continue to fund operations by issuing additional shares of our Class A common stock or other equity or equity-linked securities and may impair our ability to acquire other companies or technologies by using any such securities as consideration.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operating results and stock price may be volatile, and the market price of our Class A common stock after this offering may drop below the price you pay.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Class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common stock to wide price fluctuations regardless of our operating performance. Our operating results and the trading price of our Class A common stock may fluctuate in response to various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market conditions in our industry or the broader stock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actual or anticipated fluctuations in our quarterly financial and operating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introduction of new products or services by us or our competitors;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issuance of new or changed securities analysts’ reports or recommendations;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sales, or anticipated sales, of large blocks of our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regulatory or political developments;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litigation and governmental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changing economic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investors’ perception of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events beyond our control such as weather, war and health crises such as the COVID-19 pandemic;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default on our indebtedness.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factors, many of which are beyond our control, may cause our operating results and the market price and demand for our Class A common stock to fluctuate substantially. Fluctuations in our quarterly operating results could limit or prevent investors from readily selling their shares of Class A common stock and may otherwise negatively affect the market price and liquidity of our shares of Class A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 significant portion of our total outstanding shares of Class A common stock are restricted from immediate resale but may be sold into the market in the near future. This could cause the market price of our Class A common stock to drop significantly, even if our business is doing well.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shares of Class A common stock intend to sell shares, could reduce the market price of our Class A common stock. After this offering, we will have                    outstanding shares of Class A common stock based on the number of shares outstanding as of                    , 2026. This includes shares of Class A common stock that we and the selling stockholders are selling in this offering, which may be resold in the public market immediately. Following the consummation of this offering, shares that are not being sold in this offering will be subject to a 180-day lock-up period provided under lock-up agreements executed in connection with this offering described in “Underwriting” and restricted from immediate resale under the federal securities laws as described in “Shares Eligible for Future Sale.” All of these shares of Class A common stock will, however, be able to be resold after the expiration of the lock-up period, as well as pursuant to customary exceptions thereto or upon the waiver of the lock-up agreement by                    on behalf of the underwriters. We also intend to register shares of Class A common stock that we may issue under our equity compensation plans. Once we register these shares, they can be freely sold in the public market upon issuance, subject to the lock-up agreements. As restrictions on resale end, the market price of our Class A common stock could decline if the holders of currently restricted shares of Class A common stock sell them or are perceived by the market as intending to sell them.</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Because we have no current plans to pay regular cash dividends on our Class A common stock following this offering, you may not receive any return on investment unless you sell your Class A common stock for a price greater than that which you paid for 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anticipate paying any regular cash dividends on our Class A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Agreement. Therefore, any return on investment in our Class A common stock is solely dependent upon the appreciation of the price of our Class A common stock on the open market, which may not occur. See “Dividend Policy” for more detail.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if they publish unfavorable research or reports, or if they adversely change their recommendations regarding our Class A common stock or if our results of operations do not meet their expectations, our stock price and trading volume could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industry or securities analysts publish about us or our business. The analysts’ estimates are based upon their own opinions and are often different from our estimates or expectations.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otherwise publish unfavorable research or reports, or if our results of operations do not meet their expectations, our stock price could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issue shares of preferred stock in the future, which could make it difficult for another company to acquire us or could otherwise adversely affect holders of our Class A common stock, which could depress the price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discouraging bids for our Class A common stock at a premium to the market price, and adversely affect the market price and the voting and other rights of the holders of our Class A common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will contain a provision renouncing our interest and expectancy in certain corporate opportunities.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neither Olympus nor any of its respective portfolio companies, funds or other affiliates, nor any of its officers, directors, employees, agents, stockholders, members or partners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agent, stockholder, member, partner or affiliate of Olympus will be liable to us or our stockholders for breach of any fiduciary duty by reason of the fact that any such individual directs a corporate opportunity to Olympus, instead of to us, or does not communicate information regarding a corporate opportunity to us that the officer, director, employee, agent, stockholder, member, partner or affiliate has directed to Olympus. For example, a director of our Company who also serves as an officer, director, employee, agent, stockholder, member, partner or affiliate of Olympus, or any of its respective portfolio companies, funds or other affiliates, may pursue certain acquisitions or other opportunities that may be complementary to our business and, as a result, such acquisition or other opportunities may not be available to us. These potential conflicts of interest could have an adverse effect on our business, financial condition, results of operations or prospects if attractive corporate opportunities are allocated by Olympus to itself or its respective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portfolio companies, funds or other affiliates instead of to us. A description of our obligations related to corporate opportunities under our certificate of incorporation are more fully described in “Description of Capital Stock—Corporate Opportunity Doctrine.”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that are subject to risks and uncertainties. All statements other than statements of historical fact included in this prospectus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or initiatives or strategies are forward-looking statements. All forward-looking statements are subject to risks and uncertainties that may cause actual results to differ materially from those that we expected,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reduction in demand or slowdown in the growth of drivers of data center demand;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data center industry dynamics, including increased siting constraints or community opposition;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negative publicity about us or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limited number of large-scale data center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concentrated base of hyperscale and colocation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backlog being subject to unexpected adjustments and cancellations;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compete effectively on speed-to-capacity, on-time delivery, customization, integration and price against intense and increasing competition;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anticipate and adapt to rapid changes in data center technologies and architectures;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secure new contracts;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identify, integrate and realize the expected benefits of acquisitions;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our indemnification rights in acquisition agreements;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success of our cost management strategies, vertically integrated operating model and modular infrastructure platform;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extended sales cycles and irregular customer ordering patterns;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exposure to cost overruns and schedule penalties under fixed-price or committed-schedule arrangements;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the continued service of our founders and key leaders and our ability to recruit and retain skilled engineers, technicians and electricians;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scale operations rapidly, including investment in workforce development, operating infrastructure and cross-functional coordination;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equipment failure, capacity constraints, labor availability and safety incidents, including physical hazards inherent to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shortages, quality issues, price increases, transportation disruptions or government trade actions affecting raw materials and components in our supply chain;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reliance on contractors and subcontractors to supplement our own capabilities and to conduct aspects of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economic downturn, tighter financing conditions or pricing challenges;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geopolitical developments, trade policy shifts and macroeconomic volatility, including commodity price volatility;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seasonal variations in operations and demand that affect construction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business disruption, natural disasters, public health events or other catastrophic events;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adequately protect our intellectual property and other proprietary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claims alleging infringement, misappropriation or violation of third-party intellectual property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obtain or maintain sufficient insurance at acceptable cost;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laws, regulations and standards applicable to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disruption in our customers’ markets from future AI-related legislation and regulation and the impact it may have on demand for our products and services;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defects, installation errors or performance shortfalls resulting in warranty claims, reputational harm and liability;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potential legal proceedings and disputes arising from our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misconduct or noncompliance by employees or subcontractors;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comply with environmental, health and safety laws in our manufacturing facilities and at customer sites;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indebtedness and financing needs and the limitations our existing Credit Agreement imposes, and any future credit agreements may impose, on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inability to remediate our material weaknesses, or our failure to develop and maintain effective internal control over financial reporting;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cybersecurity incidents or data privacy breaches;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risks and uncertainties related to the development and use of AI, which may present business, compliance and reputational risks;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other factors disclosed under “Risk Factors” and elsewhere in this prospectus.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prospectus.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prospectus in the context of these risks and uncertainties.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turn, Holdings LLC intends to apply the balance of the net proceeds it receives from us (including any additional proceeds it may receive from us if the underwriters exercise their option to purchase additional shares) (i) to repay approximately $           of outstanding borrowings under our Credit Agreement, (ii) to pay expenses incurred in connection with this offering and the Organizational Transactions and (iii) for general corporate purposes. As of June 30, 2026, we had approximately $651.5 million outstanding under our Term Loan Facility and no outstanding borrowings under our Revolving Credit Facility. As of June 30, 2026, the weighted average interest rate for the Term Loan Facility and for amounts drawn under the Revolving Credit Facility was approximately 8.772%. The Term Loan Facility and the Revolving Credit Facility have a maturity date of January 2, 2031.</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 increase or decrease in the assumed initial public offering price of $            per share, which is the midpoint of the estimated public offering price range set forth on the cover page of this prospectus, would increase or decrease the net proceeds to us from this offering by approximately $            million, assuming the number of shares of Class A common stock offered, as set forth on the cover page of this prospectus, remains the same and after deducting the underwriting discounts and estimated offering expenses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1,000,000 share increase or decrease in the number of shares of Class A common stock offered in this offering would increase or decrease the net proceeds to us from this offering by approximately $            million, based on the assumed initial public offering price of $            per share, which is the midpoint of the estimated public offering price range set forth on the cover page of this prospectus, and after deducting the underwriting discounts and estimated offering expenses payable by us.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not receive any of the proceeds from the sale of shares of Class A common stock by the selling stockholders in this offering. We will, however, bear the costs associated with the sale of shares of Class A common stock by the selling stockholders, other than underwriting discounts and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Class A common stock is limited by restrictions on the ability of our subsidiaries to pay dividends or make distributions to us. Any future determination to pay dividends will be at the discretion of our Board, subject to compliance with requirements under Delaware law and covenants in current and future agreements governing our and our subsidiaries’ indebtedness, including our Credit Agreement, and will depend on our results of operations, financial condition, capital requirements and other factors that our Board may deem relevant. Additionally, our Credit Agreement places restrictions on the ability of our subsidiaries to pay cash dividends or make distributions to us. See “Description of Certain Indebtedness.” Because we have no current plans to pay regular cash dividends on our Class A common stock following this offering, you may not receive any return on investment unless you sell your Class A common stock for a price greater than what you paid for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our cash and cash equivalents and consolidated capitalization as of                     , 2026:</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Holdings LLC and its subsidiaries on an actual historical basis;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Accelevation Holdings Corp. on a pro forma basis, after giving effect to the Organizational Transactions;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Accelevation Holdings Corp. on a pro forma as adjusted basis, after giving effect to the Organizational Transactions, our sale of                    shares of Class A common stock in this offering at an assumed initial public offering price of $                    per share (which is the midpoint of the estimated public offering price range set forth on the cover page of this prospectus) after deducting the estimated underwriting discounts and commissions and estimated offering expenses payable by us (assuming no exercise of the underwriters’ option to purchase additional shares) and the application of the net proceeds of the offering as set forth in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capitalization in the table below is illustrative only and will be adjusted based on the actual initial public offering price and other terms of this offering determined at pricing. You should read this table in conjunction with the audited consolidated financial statements and the related notes, “Use of Proceeds,” “Organizational Structure,” “Unaudited Consolidated Pro Forma Financial Information” and “Management’s Discussion and Analysis of Financial Condition and Results of Operations” included elsewhere in this prospectus.</w:t>
      </w:r>
    </w:p>
    <w:tbl>
      <w:tblPr>
        <w:tblW w:w="10205" w:type="dxa"/>
        <w:jc w:val="left"/>
        <w:tblInd w:w="0" w:type="dxa"/>
        <w:tblLayout w:type="fixed"/>
        <w:tblCellMar>
          <w:top w:w="28" w:type="dxa"/>
          <w:left w:w="28" w:type="dxa"/>
          <w:bottom w:w="28" w:type="dxa"/>
          <w:right w:w="28" w:type="dxa"/>
        </w:tblCellMar>
      </w:tblPr>
      <w:tblGrid>
        <w:gridCol w:w="2359"/>
        <w:gridCol w:w="1782"/>
        <w:gridCol w:w="1795"/>
        <w:gridCol w:w="477"/>
        <w:gridCol w:w="245"/>
        <w:gridCol w:w="247"/>
        <w:gridCol w:w="111"/>
        <w:gridCol w:w="111"/>
        <w:gridCol w:w="111"/>
        <w:gridCol w:w="622"/>
        <w:gridCol w:w="320"/>
        <w:gridCol w:w="322"/>
        <w:gridCol w:w="111"/>
        <w:gridCol w:w="111"/>
        <w:gridCol w:w="111"/>
        <w:gridCol w:w="605"/>
        <w:gridCol w:w="312"/>
        <w:gridCol w:w="453"/>
      </w:tblGrid>
      <w:tr>
        <w:trPr/>
        <w:tc>
          <w:tcPr>
            <w:tcW w:w="235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9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of </w:t>
            </w:r>
            <w:r>
              <w:rPr>
                <w:color w:val="000000"/>
              </w:rPr>
              <w:t>                    </w:t>
            </w:r>
            <w:r>
              <w:rPr>
                <w:rFonts w:ascii="Times New Roman;serif" w:hAnsi="Times New Roman;serif"/>
                <w:b/>
                <w:color w:val="000000"/>
                <w:sz w:val="16"/>
              </w:rPr>
              <w:t>, 2026</w:t>
            </w:r>
          </w:p>
        </w:tc>
      </w:tr>
      <w:tr>
        <w:trPr/>
        <w:tc>
          <w:tcPr>
            <w:tcW w:w="5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data and par value)</w:t>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Historical Holdings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LLC</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Adjusted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Transactions and this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Indebtedness (including current maturities):</w:t>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(1)</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Credit Agreement</w:t>
            </w:r>
            <w:r>
              <w:rPr>
                <w:rFonts w:ascii="Times New Roman;serif" w:hAnsi="Times New Roman;serif"/>
                <w:b w:val="false"/>
                <w:color w:val="000000"/>
                <w:sz w:val="13"/>
              </w:rPr>
              <w:t>(1)</w:t>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indebtedness (including current maturities)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Members’ / Stockholders’ equity:</w:t>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units, no par value,          units authorized and          units issued and outstanding, on an actual basis; no units authorized, issued and outstanding, on a pro forma and pro forma as adjusted basis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par value per share, no shares authorized, issued or outstanding, on an actual basis;           shares authorized,   shares issued and outstanding, on a pro forma basis;           shares authorized;           shares issued and outstanding, on a pro forma as adjusted basis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          par value per share, no shares authorized, issued or outstanding, on an actual basis;           shares authorized;   shares issued and outstanding, on a pro forma basis;           shares authorized;           shares issued and outstanding, on a pro forma as adjusted basis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Contributed capital</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members’/stockholders’ equity (deficit)</w:t>
            </w:r>
          </w:p>
        </w:tc>
        <w:tc>
          <w:tcPr>
            <w:tcW w:w="9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tbl>
      <w:tblPr>
        <w:tblW w:w="8901" w:type="dxa"/>
        <w:jc w:val="left"/>
        <w:tblInd w:w="0" w:type="dxa"/>
        <w:tblLayout w:type="fixed"/>
        <w:tblCellMar>
          <w:top w:w="28" w:type="dxa"/>
          <w:left w:w="28" w:type="dxa"/>
          <w:bottom w:w="28" w:type="dxa"/>
          <w:right w:w="28" w:type="dxa"/>
        </w:tblCellMar>
      </w:tblPr>
      <w:tblGrid>
        <w:gridCol w:w="1253"/>
        <w:gridCol w:w="1102"/>
        <w:gridCol w:w="1110"/>
        <w:gridCol w:w="745"/>
        <w:gridCol w:w="383"/>
        <w:gridCol w:w="387"/>
        <w:gridCol w:w="121"/>
        <w:gridCol w:w="121"/>
        <w:gridCol w:w="121"/>
        <w:gridCol w:w="716"/>
        <w:gridCol w:w="368"/>
        <w:gridCol w:w="371"/>
        <w:gridCol w:w="121"/>
        <w:gridCol w:w="121"/>
        <w:gridCol w:w="121"/>
        <w:gridCol w:w="774"/>
        <w:gridCol w:w="399"/>
        <w:gridCol w:w="567"/>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3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of </w:t>
            </w:r>
            <w:r>
              <w:rPr>
                <w:color w:val="000000"/>
              </w:rPr>
              <w:t>                    </w:t>
            </w:r>
            <w:r>
              <w:rPr>
                <w:rFonts w:ascii="Times New Roman;serif" w:hAnsi="Times New Roman;serif"/>
                <w:b/>
                <w:color w:val="000000"/>
                <w:sz w:val="16"/>
              </w:rPr>
              <w:t>, 2026</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data and par value)</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Historical Holdings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LLC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Adjusted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Transactions and this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Non-controlling interests</w:t>
            </w:r>
            <w:r>
              <w:rPr>
                <w:rFonts w:ascii="Times New Roman;serif" w:hAnsi="Times New Roman;serif"/>
                <w:b w:val="false"/>
                <w:color w:val="000000"/>
                <w:sz w:val="13"/>
              </w:rPr>
              <w:t>(2)</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Credit Agreement consists of: (i) the Term Loan Facility maturing in January 2031, (ii) the Revolving Credit Facility maturing in January 2031, (iii) the Fourth Amendment Term Loan Facility and (iv) the Fourth Amendment Delayed Draw Term Loan Facility. See “Description of Certain Indebtedness.”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(2)On a pro forma as adjusted basis, includes the Holdings LLC interests not owned by us, which represents          % of Holdings LLC’s LLC Units. The LLC Unitholders will hold the non-controlling economic interest in Holdings LLC. Accelevation Holdings Corp. will hold          % of the economic interest in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$1.00 increase or decrease in the assumed initial public offering price of $     per share (which is the midpoint of the estimated public offering price range set forth on the cover page of this prospectus) would increase or decrease each of cash and cash equivalents, additional paid-in capital, total stockholders’ equity and total capitalization on a pro forma basis by approximately $     million, assuming the number of shares of Class A common stock offered, as set forth on the cover page of this prospectus, remains the same, and after deducting the estimated underwriting discounts and commissions and estimated offering expenses payable by us. Each 1,000,000 increase or decrease in the number of shares of Class A common stock offered in this offering would increase or decrease each of cash and cash equivalents, additional paid-in capital, total stockholders’ equity and total capitalization on a pro forma basis by approximately $     million, based on an assumed initial public offering price of $     per share, which is the midpoint of the estimated public offering price range set forth on the cover page of this prospectus, and after deducting the estimated underwriting discounts and estimated offering expenses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shares of Class A common stock to be outstanding after the completion of this offering excludes                    shares of Class A common stock that may be issuable upon exercise of redemption and exchange rights held by the LLC Unitholders as of                     , 2026 and                    shares of Class A common stock reserved for future issuance under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LLC Unitholders do not own any Class A common stock or other economic interests in Accelevation Holdings Corp., we have presented dilution in pro forma net tangible book value per share after this offering assuming that the LLC Unitholders had all of their LLC Units redeemed or exchanged for newly issued shares of Class A common stock on a one-for-one basis (rather than for cash and based upon an assumed offering price of $                    per share, which is the midpoint of the estimated public offering price range set forth on the cover page of this prospectus) and the cancellation for no consideration of all of its shares of Class B common stock (which are not entitled to receive distributions or dividends, whether cash or stock, from Accelevation Holdings Corp.) in order to more meaningfully present the dilutive impact to the investors in this offering. We refer to the assumed redemption or exchange of all LLC Units for shares of Class A common stock as described in the previous sentence as the “Assumed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Dilution results from the fact that the initial public offering price per share of the Class A common stock is substantially in excess of the pro forma net tangible book value per share of Class A common stock after this offering. Net tangible book value (deficit) per share represents the amount of our total tangible assets, less total liabilities, divided by the number of shares of Class A common stock outstanding. 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forma net tangible book value per share is determined at any date by subtracting our total liabilities from the total book value of our tangible assets and dividing the difference by the number of shares of Class A common stock, after giving effect to the Organizational Transactions, including the sale of                    shares of Class A common stock in this offering at the assumed initial public offering price of $                    per share, which is the midpoint of the estimated public offering price range set forth on the cover page of this prospectus, the application of the proceeds from this offering as described in “Use of Proceeds” and the Assumed Redemption. Our pro forma net tangible book value (deficit) after this offering as of                     , 2026 was $                     million, or $                     per share of Class A common stock. This represents an immediate increase in our net tangible book value to the LLC Unitholders, including our Principal Stockholder, of $                    per share and an immediate dilution to new investors in this offering of $                    per share. We determine dilution by subtracting the pro forma net tangible book value per share after this offering from the amount of cash that a new investor paid for a share of Class A common stock. The following table illustrates this dilution:</w:t>
      </w:r>
    </w:p>
    <w:tbl>
      <w:tblPr>
        <w:tblW w:w="8856" w:type="dxa"/>
        <w:jc w:val="left"/>
        <w:tblInd w:w="0" w:type="dxa"/>
        <w:tblLayout w:type="fixed"/>
        <w:tblCellMar>
          <w:top w:w="28" w:type="dxa"/>
          <w:left w:w="28" w:type="dxa"/>
          <w:bottom w:w="28" w:type="dxa"/>
          <w:right w:w="28" w:type="dxa"/>
        </w:tblCellMar>
      </w:tblPr>
      <w:tblGrid>
        <w:gridCol w:w="2919"/>
        <w:gridCol w:w="2563"/>
        <w:gridCol w:w="2573"/>
        <w:gridCol w:w="109"/>
        <w:gridCol w:w="109"/>
        <w:gridCol w:w="109"/>
        <w:gridCol w:w="211"/>
        <w:gridCol w:w="109"/>
        <w:gridCol w:w="154"/>
      </w:tblGrid>
      <w:tr>
        <w:trPr/>
        <w:tc>
          <w:tcPr>
            <w:tcW w:w="2919"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initial public 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 forma net tangible book value (deficit) per share as of                     , 2026 prior to this offering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(deficit) per share attributable to the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 forma net tangible book value (deficit) per share after giving effect to this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in net tangible book value (deficit) per share to the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computation of pro forma net tangible book value per share as of                     , 2026 prior to this offering is set forth below:</w:t>
      </w:r>
    </w:p>
    <w:tbl>
      <w:tblPr>
        <w:tblW w:w="6035" w:type="dxa"/>
        <w:jc w:val="left"/>
        <w:tblInd w:w="0" w:type="dxa"/>
        <w:tblLayout w:type="fixed"/>
        <w:tblCellMar>
          <w:top w:w="28" w:type="dxa"/>
          <w:left w:w="28" w:type="dxa"/>
          <w:bottom w:w="28" w:type="dxa"/>
          <w:right w:w="28" w:type="dxa"/>
        </w:tblCellMar>
      </w:tblPr>
      <w:tblGrid>
        <w:gridCol w:w="1899"/>
        <w:gridCol w:w="1669"/>
        <w:gridCol w:w="1681"/>
        <w:gridCol w:w="109"/>
        <w:gridCol w:w="109"/>
        <w:gridCol w:w="109"/>
        <w:gridCol w:w="196"/>
        <w:gridCol w:w="109"/>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Book value of tangible assets(a)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total liabilities(a)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tangible book value (deficit)(a)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outstanding(a)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tangible book value (deficit) per share prior to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(a)Gives pro forma effect to the Organizational Transactions (other than this offering) and the Assumed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as of                     , 2026, after giving effect to the Organizational Transactions (including this offering) and the Assumed Redemption, the number of shares of Class A common stock purchased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us, the total consideration paid, or to be paid, to us and the average price per share paid, or to be paid, by the LLC Unitholders and our Principal Stockholder and by the purchasers in this offering, based upon an assumed initial public offering price of $                     per share (which is the midpoint of the estimated public offering price range set forth on the cover page of this prospectus) and before deducting estimated underwriting discounts and commissions and offering expenses, after giving effect to the Assumed Redemption:</w:t>
      </w:r>
    </w:p>
    <w:tbl>
      <w:tblPr>
        <w:tblW w:w="8176" w:type="dxa"/>
        <w:jc w:val="left"/>
        <w:tblInd w:w="0" w:type="dxa"/>
        <w:tblLayout w:type="fixed"/>
        <w:tblCellMar>
          <w:top w:w="28" w:type="dxa"/>
          <w:left w:w="28" w:type="dxa"/>
          <w:bottom w:w="28" w:type="dxa"/>
          <w:right w:w="28" w:type="dxa"/>
        </w:tblCellMar>
      </w:tblPr>
      <w:tblGrid>
        <w:gridCol w:w="761"/>
        <w:gridCol w:w="668"/>
        <w:gridCol w:w="671"/>
        <w:gridCol w:w="230"/>
        <w:gridCol w:w="230"/>
        <w:gridCol w:w="231"/>
        <w:gridCol w:w="193"/>
        <w:gridCol w:w="193"/>
        <w:gridCol w:w="193"/>
        <w:gridCol w:w="204"/>
        <w:gridCol w:w="204"/>
        <w:gridCol w:w="508"/>
        <w:gridCol w:w="109"/>
        <w:gridCol w:w="109"/>
        <w:gridCol w:w="109"/>
        <w:gridCol w:w="230"/>
        <w:gridCol w:w="230"/>
        <w:gridCol w:w="231"/>
        <w:gridCol w:w="148"/>
        <w:gridCol w:w="148"/>
        <w:gridCol w:w="148"/>
        <w:gridCol w:w="204"/>
        <w:gridCol w:w="204"/>
        <w:gridCol w:w="508"/>
        <w:gridCol w:w="109"/>
        <w:gridCol w:w="109"/>
        <w:gridCol w:w="109"/>
        <w:gridCol w:w="526"/>
        <w:gridCol w:w="272"/>
        <w:gridCol w:w="387"/>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Class A 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Existing owners</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Investors in this offering</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 increase (decrease) in the assumed initial public offering price of $           per share, which is the midpoint of the estimated price range set forth on the cover page of this prospectus, would increase (decrease) the total consideration paid by new investors and the total consideration paid by all stockholders by $           million, in each case assuming the number of shares of our Class A common stock offered by us and the selling stockholders, as set forth on the cover page of this prospectus, remains the same and after deducting the underwriting discounts and commissions but before estimated offering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tables above assume no exercise of the underwriters’ option to purchase additional shares. In addition, the discussion and tables above exclude shares of Class B common stock, because holders of the Class B common stock are not entitled to distributions or dividends, whether cash or stock, from Accelevation Holdings Corp. If the underwriters exercise their option to purchase additional shares in full, after giving effect to the Assumed Redemption, the LLC Unitholders, including our Principal Stockholder, would own approximately         % and the investors in this offering would own approximately          % of the total number of shares of our Class A common stock outstanding after this offering. If the underwriters exercise their option to purchase additional shares in full, after giving effect to the Assumed Redemption, the pro forma net tangible book value (deficit) per share after this offering would be $                     per share, and the dilution in the pro forma net tangible book value (deficit) per share to the investors in this offering would be $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and calculations above are based on the number of shares of Class A common stock outstanding as of                     , 2026 (after giving effect to the Organizational Transactions) and                     shares of Class A common stock reserved for issuance under the 2026 Plan. To the extent that any new options or other equity incentive grants are issued in the future with an exercise price or purchase price below the initial public offering price, new investors will experience further dilution.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choose to raise additional capital due to market conditions or strategic considerations even if we believe we have sufficient funds for our current or future operating plans. To the extent additional capital is raised through the sale of equity or equity-linked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balance sheet as of December 31, 2025, and the unaudited pro forma consolidated statement of operations for the year ended December 31, 2025, present our financial position and results of operations after giving effect to the following pro forma transactions (the “Pro Forma Transactions”):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Organizational Transactions described under “Organizational Structure”;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effects of the Tax Receivable Agreement, as described under “Certain Relationships and Related Party Transactions—Tax Receivable Agreement”;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provision for corporate income taxes on the income attributable to us at a tax rate of           % as of December 31, 2025, inclusive of all U.S. federal, state, local and foreign income taxes;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(4)this offering and the application of the estimated net proceeds from this offering as described under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statement of operations for the year ended December 31, 2025 give effect to the Pro Forma Transactions (as defined above) as if the Pro Forma Transactions had occurred or had become effective as of January 1, 2025. The unaudited pro forma consolidated balance sheet gives effect to the Pro Forma Transactions as if the Pro Forma Transactions had occurred or had become effective as of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consolidated financial information has been derived from our consolidated financial statements and accompanying notes to the consolidated financial statements included elsewhere in this prospectus. Accelevation Holdings Corp. was formed on June 15, 2026 and will have no material assets or results of operations until the completion of this offering. Therefore, Accelevation Holdings Corp.’s historical financial information is not included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has been prepared on the basis that we will be taxed as a corporation for U.S. federal and state income tax purposes and, accordingly, will become a taxpaying entity subject to U.S. federal, state and foreign income taxes. The presentation of the unaudited pro forma consolidated financial information is prepared in conformity with Article 11 of Regulation S-X and is based on currently available information and certain estimates and assumptions. See the accompanying notes to the Unaudited Consolidated Pro Forma Financial Information for a discussion of assumptions made.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is not necessarily indicative of financial results that would have been attained had the Pro Forma Transactions occurred on the dates indicated above or that could be achieved in the future. The unaudited pro forma consolidated financial information also does not give effect to the potential impact of any anticipated synergies, operating efficiencies or cost savings that may result from the Pro Forma Transactions. Future results may vary significantly from the results reflected in the unaudited pro forma consolidated statement of operations and should not be relied on as an indication of our results after the consummation of this offering and the other transactions contemplated by such unaudited pro forma consolidated financial information. However, management believes that the assumptions provide a reasonable basis for presenting the significant effects of the Pro Forma Transactions as contemplated and that the pro forma adjustments give appropriate effect to those assumptions and are properly applied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costs, director fees, fees to comply with the reporting requirements of the SEC, transfer agent fees, costs relating to the hiring of additional accounting, legal and administrative personnel, increased auditing and legal fees and similar expenses. We have not included any pro forma adjustments relating to these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consolidated financial information, we have assumed that we will issue                    shares of Class A common stock at a price of $                     per share, which is the midpoint of the estimated public offering price range set forth on the cover page of this prospectus, and, as a result, immediately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this offering, the ownership percentage represented by LLC Units not held by us will be          %, and the net income attributable to LLC Units not held by us will accordingly represent          % of our net income or loss. Except as otherwise indicated, the unaudited pro forma consolidated financial information presented assumes no exercise by the underwriters of their option to purchase additional shares of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greater detail in “Certain Relationships and Related Party Transactions—Tax Receivable Agreement,” in connection with the consummation of this offering, we will enter into a Tax Receivable Agreement with the TRA Rights Holders that will require us to pay such persons          % of certain tax savings (calculated using certain assumptions), if any, in U.S. federal, state and local income taxes we actually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retain the remaining          % of cash savings, if any. If the Tax Receivable Agreement terminates early, we could be required to make a substantial, immediate lump-sum payment. As a result of the Organizational Transactions, we are recording a liability under the Tax Receivable Agreement of $                      million as described in more detail below. Due to the uncertainty in the amount and timing of future exchanges of LLC Units by the LLC Unitholders and purchases of LLC Units from the LLC Unitholders, the unaudited pro forma consolidated financial information assumes that no future exchanges or purchases of LLC Units have occurred and therefore no increases in tax basis in the Holdings LLC assets or other tax benefits that may be realized thereunder have been assumed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if all of the LLC Unitholders were to exchange or sell us all of their remaining LLC Units, we would recognize a deferred tax asset of approximately $                      million and a liability under the Tax Receivable Agreement of approximately $                      million, assuming: (i) all exchanges or purchases occurred on the same day; (ii) a price of $                      per share; (iii) a corporate tax rate of            %; (iv) that we will have sufficient taxable income to fully utilize the tax benefits;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per share of our Class A common stock at the time of the exchange, and the tax rates then in effect.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should be read together with “Organizational Structure,” “Use of Proceeds,” “Capitalization,” “Management’s Discussion and Analysis of Financial Condition and Results of Operations,” “Certain Relationships and Related Party Transactions” and the audited annual consolidated financial statements of Holdings LLC and related notes thereto which are included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BALANCE SHEET AS OF DECEMBER 31, 2025</w:t>
      </w:r>
    </w:p>
    <w:tbl>
      <w:tblPr>
        <w:tblW w:w="10205" w:type="dxa"/>
        <w:jc w:val="left"/>
        <w:tblInd w:w="0" w:type="dxa"/>
        <w:tblLayout w:type="fixed"/>
        <w:tblCellMar>
          <w:top w:w="28" w:type="dxa"/>
          <w:left w:w="28" w:type="dxa"/>
          <w:bottom w:w="28" w:type="dxa"/>
          <w:right w:w="28" w:type="dxa"/>
        </w:tblCellMar>
      </w:tblPr>
      <w:tblGrid>
        <w:gridCol w:w="1108"/>
        <w:gridCol w:w="790"/>
        <w:gridCol w:w="796"/>
        <w:gridCol w:w="109"/>
        <w:gridCol w:w="109"/>
        <w:gridCol w:w="109"/>
        <w:gridCol w:w="409"/>
        <w:gridCol w:w="409"/>
        <w:gridCol w:w="411"/>
        <w:gridCol w:w="109"/>
        <w:gridCol w:w="109"/>
        <w:gridCol w:w="109"/>
        <w:gridCol w:w="405"/>
        <w:gridCol w:w="405"/>
        <w:gridCol w:w="406"/>
        <w:gridCol w:w="109"/>
        <w:gridCol w:w="109"/>
        <w:gridCol w:w="109"/>
        <w:gridCol w:w="150"/>
        <w:gridCol w:w="150"/>
        <w:gridCol w:w="151"/>
        <w:gridCol w:w="109"/>
        <w:gridCol w:w="109"/>
        <w:gridCol w:w="109"/>
        <w:gridCol w:w="345"/>
        <w:gridCol w:w="345"/>
        <w:gridCol w:w="346"/>
        <w:gridCol w:w="109"/>
        <w:gridCol w:w="109"/>
        <w:gridCol w:w="109"/>
        <w:gridCol w:w="150"/>
        <w:gridCol w:w="150"/>
        <w:gridCol w:w="151"/>
        <w:gridCol w:w="109"/>
        <w:gridCol w:w="109"/>
        <w:gridCol w:w="109"/>
        <w:gridCol w:w="340"/>
        <w:gridCol w:w="340"/>
        <w:gridCol w:w="486"/>
      </w:tblGrid>
      <w:tr>
        <w:trPr/>
        <w:tc>
          <w:tcPr>
            <w:tcW w:w="11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Accelevation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Organizational</w:t>
              <w:br/>
              <w:t>Transaction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b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w:t>
              <w:br/>
              <w:t>Transactions</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b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Accelevation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Holdings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UNAUDITED CONSOLIDATED PRO FORMA BALANCE SHEET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Organizational Transaction Adjustments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the issuance of Class B common stock to the LLC Unitholders, on a one-to-one basis with the number of LLC Units they own, in exchange for cash consideration of $                    million equal to the par value of the Class B common stock issued, as described in greater detail under “Organizational Structure.”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(2)Subsequent to the Organizational Transactions, Accelevation Holdings Corp. will have no material assets other than its interest in Holdings LLC and Instor. Holdings LLC will continue to be treated as a partnership for tax purposes and will not be subject to U.S. federal income tax, but may be subject to certain U.S. state and local taxes. Accelevation Holdings Corp. is a domestic corporation that will be subject to U.S. corporate income tax on its earnings, including its allocable share of the income from Holdings LLC.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Organizational Transactions, Accelevation Holdings Corp. will record a deferred tax asset adjustment of $                    million, with a corresponding adjustment to additional paid-in capital. The deferred tax asset is measured based on the following: (i) differences between financial reporting and tax basis associated with the Company’s investment in Holdings LLC and (ii) tax benefits from future deductions attributable to payments under the Tax Receivable Agreement as a result of the Organizational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Organizational Transactions, Accelevation Holdings Corp. will enter into a Tax Receivable Agreement with the TRA Rights Holders, including entities controlled by our Principal Stockholder. The Tax Receivable Agreement liability will be accounted for as a contingent liability, with amounts accrued when considered probable and reasonably estimable. We will record a $                    million liability, with a corresponding adjustment to additional paid-in capital, based on our estimate of the aggregate amount that it will pay to the LLC Unitholders under the Tax Receivable Agreement as a result of the Organizational Transactions.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(3)As a result of the Organizational Transactions, the limited liability company agreement of Holdings LLC will be amended and restated to, among other things, designate Accelevation Holdings Corp. as the sole managing member of Holdings LLC. As sole managing member, Accelevation Holdings Corp. will exclusively operate and control the business and affairs of Holdings LLC. The LLC Units owned by the LLC Unitholders will be considered noncontrolling interests in the consolidated financial statements of Accelevation Holdings Corp. The adjustments to (i) noncontrolling interests of $                    million, (ii) additional paid-in capital of $                    million, (iii) retained earnings of $                    million and (iv) accumulated other comprehensive income of $                    million reflect the proportional interest in the pro forma consolidated total equity of Holdings LLC owned by the LLC Unitholders.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following table is a reconciliation of the adjustments impacting additional paid-in capital (in millions):</w:t>
      </w:r>
    </w:p>
    <w:tbl>
      <w:tblPr>
        <w:tblW w:w="10205" w:type="dxa"/>
        <w:jc w:val="left"/>
        <w:tblInd w:w="0" w:type="dxa"/>
        <w:tblLayout w:type="fixed"/>
        <w:tblCellMar>
          <w:top w:w="28" w:type="dxa"/>
          <w:left w:w="28" w:type="dxa"/>
          <w:bottom w:w="28" w:type="dxa"/>
          <w:right w:w="28" w:type="dxa"/>
        </w:tblCellMar>
      </w:tblPr>
      <w:tblGrid>
        <w:gridCol w:w="3424"/>
        <w:gridCol w:w="2980"/>
        <w:gridCol w:w="2990"/>
        <w:gridCol w:w="109"/>
        <w:gridCol w:w="109"/>
        <w:gridCol w:w="109"/>
        <w:gridCol w:w="217"/>
        <w:gridCol w:w="111"/>
        <w:gridCol w:w="156"/>
      </w:tblGrid>
      <w:tr>
        <w:trPr/>
        <w:tc>
          <w:tcPr>
            <w:tcW w:w="3424"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adjustment from recognition of deferred tax assets and payable to related parties pursuant to the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for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additional paid-in capital pro forma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Offering Transactions Adjustments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(5)We estimate that the proceeds to us from this offering will be approximately $ million, based on an assumed initial public offering price of $ per share, which is the midpoint of the estimated public offering price range set forth on the cover page of this prospectus, after deducting $            million of estimated underwriting discounts and commissions. 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In turn, Holdings LLC intends to apply the balance of the net proceeds it receives from us (including any additional proceeds it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receive from us if the underwriters exercise their option to purchase additional shares) (i) to repay approximately $           of outstanding borrowings under our Credit Agreement,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(6)We are deferring certain costs associated with this offering. These costs primarily represent legal, accounting and other costs directly associated with this offering. As of December 31, 2025, $                    million of these costs were recorded to prepaid expenses and other current assets, and an additional $                    million of capitalizable costs were incurred subsequent to December 31, 2025. Upon completion of this offering, these deferred costs will be charged against the proceeds from this offering with a corresponding reduction to additional paid-in capital as discussed in note (9). After December 31, 2025, we incurred an additional $                    million of costs associated with this offering that were not eligible for capitalization. These costs were expensed as incurred and were recorded to accrued expenses and retained earnings.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(7)Following the offering transactions, Accelevation Holdings Corp. will record an additional deferred tax asset of $                    million, with a corresponding adjustment to additional paid-in capital, which is primarily attributable to the differences between financial reporting and tax basis associated with the Company’s investment in Holdings LLC and the tax benefits from future deductions attributable to payments under the Tax Receivable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 (2) above, we will enter into a Tax Receivable Agreement with TRA Rights Holders that provides for the payment by Accelevation Holdings Corp. to such pre-IPO owners of          % of certain tax benefits, if any, that the Company actually realizes, as a result of (i) Accelevation Holdings Corp.’s allocable share of existing tax basis in Holdings LLC assets acquired in this offering, (ii) increases in Accelevation Holdings Corp.’s allocable share of existing tax basis and tax basis adjustments to the assets of Holdings LLC as a result of sales or exchanges of LLC Units in connection with or after this offering and (iii) certain other tax benefits related to entering into the Tax Receivable Agreement, including tax benefits attributable to payments under the Tax Receivable Agreement. Following the offering transactions, Accelevation Holdings Corp. will record an additional payment of $                    million, with a corresponding adjustment to additional paid-in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Tax Receivable Agreement will be accounted for as a contingent liability, with amounts accrued when considered probable and reasonably estimable. Due to the uncertainty in the amount and timing of future exchanges of LLC Units by certain of our existing direct and indirect owners and purchases of LLC Units from such owners, the unaudited condensed consolidated pro forma financial information assumes that no future exchanges or purchases of LLC Units have occurred. However, if the LLC Unitholders were to exchange all of the LLC Units that they will hold immediately following this offering for shares of Class A common stock immediately following the completion of this offering, we would recognize an incremental deferred tax asset of approximately $                    million and a noncurrent liability of approximately $                    million based on the Company’s estimate of the aggregate amount that it will pay under the Tax Receivable Agreement as a result of such hypothetical exchange, assuming: (i) a price of $                    per share of our Class A common stock; (ii) a constant corporate tax rate of          %; (iii) we will have sufficient taxable income to fully utilize the tax benefits; and (iv) no material changes in tax law.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LLC Units by LLC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(8)The following table is a reconciliation of the adjustments impacting additional paid-in capital (in millions):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2"/>
        <w:gridCol w:w="2965"/>
        <w:gridCol w:w="2995"/>
        <w:gridCol w:w="109"/>
        <w:gridCol w:w="109"/>
        <w:gridCol w:w="109"/>
        <w:gridCol w:w="211"/>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proceeds from offering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r>
      <w:tr>
        <w:trPr/>
        <w:tc>
          <w:tcPr>
            <w:tcW w:w="9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of deferred costs incurred in this offering to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r>
      <w:tr>
        <w:trPr/>
        <w:tc>
          <w:tcPr>
            <w:tcW w:w="9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adjustment from recognition of deferred tax assets and payable to related parties pursuant to the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r>
      <w:tr>
        <w:trPr/>
        <w:tc>
          <w:tcPr>
            <w:tcW w:w="9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additional paid-in capital pro forma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STATEMENT OF OPERATIONS FOR THE YEAR ENDED DECEMBER 31, 2025</w:t>
      </w:r>
    </w:p>
    <w:tbl>
      <w:tblPr>
        <w:tblW w:w="10205" w:type="dxa"/>
        <w:jc w:val="left"/>
        <w:tblInd w:w="0" w:type="dxa"/>
        <w:tblLayout w:type="fixed"/>
        <w:tblCellMar>
          <w:top w:w="28" w:type="dxa"/>
          <w:left w:w="28" w:type="dxa"/>
          <w:bottom w:w="28" w:type="dxa"/>
          <w:right w:w="28" w:type="dxa"/>
        </w:tblCellMar>
      </w:tblPr>
      <w:tblGrid>
        <w:gridCol w:w="1486"/>
        <w:gridCol w:w="1157"/>
        <w:gridCol w:w="1165"/>
        <w:gridCol w:w="109"/>
        <w:gridCol w:w="109"/>
        <w:gridCol w:w="109"/>
        <w:gridCol w:w="333"/>
        <w:gridCol w:w="333"/>
        <w:gridCol w:w="335"/>
        <w:gridCol w:w="109"/>
        <w:gridCol w:w="109"/>
        <w:gridCol w:w="109"/>
        <w:gridCol w:w="405"/>
        <w:gridCol w:w="405"/>
        <w:gridCol w:w="406"/>
        <w:gridCol w:w="214"/>
        <w:gridCol w:w="214"/>
        <w:gridCol w:w="215"/>
        <w:gridCol w:w="345"/>
        <w:gridCol w:w="345"/>
        <w:gridCol w:w="346"/>
        <w:gridCol w:w="214"/>
        <w:gridCol w:w="214"/>
        <w:gridCol w:w="215"/>
        <w:gridCol w:w="532"/>
        <w:gridCol w:w="274"/>
        <w:gridCol w:w="398"/>
      </w:tblGrid>
      <w:tr>
        <w:trPr/>
        <w:tc>
          <w:tcPr>
            <w:tcW w:w="148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Holdings LLC</w:t>
              <w:b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Organizational</w:t>
              <w:br/>
              <w:t>Transaction</w:t>
              <w:br/>
              <w:t>Adjustments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Ref</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w:t>
              <w:br/>
              <w:t>Transactions</w:t>
              <w:br/>
              <w:t>Adjustments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Ref</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Accelevation</w:t>
              <w:br/>
              <w:t>Holdings Corp.</w:t>
              <w:br/>
              <w:t>Pro Forma</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(2)</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(3)</w:t>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3"/>
              </w:rPr>
            </w:pPr>
            <w:r>
              <w:rPr>
                <w:rFonts w:ascii="Times New Roman;serif" w:hAnsi="Times New Roman;serif"/>
                <w:b/>
                <w:color w:val="000000"/>
                <w:sz w:val="13"/>
              </w:rPr>
              <w:t>(3)</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Holdings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88"/>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 Forma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5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88"/>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Number of Shares Used in Computing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5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UNAUDITED CONSOLIDATED PRO FORMA STATEMENTS OF OPERATIONS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(1)Following the Organizational Transactions, Accelevation Holdings Corp. will be subject to U.S. federal, state and local income taxes with respect to its allocable share of taxable income generated by Holdings LLC. As a result, the unaudited pro forma condensed consolidated statement of operations reflects adjustments to record Accelevation Holdings Corp. income tax expense attributable to its allocable share of income, at a blended U.S. federal and state statutory tax rate of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(2)Following the offering transactions, Accelevation Holdings Corp. will have additional income subject to U.S. federal, state and local income taxes with respect to its allocable share of taxable income generated by Holdings LLC. As a result, the unaudited pro forma condensed consolidated statement of operations reflects an additional adjustment of $                    million to record Accelevation Holdings Corp. income tax expense attributable to its allocable share of income, at a blended U.S. federal and state statutory tax rate of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(3)Following the Organizational Transactions, Accelevation Holdings Corp. will become the sole managing member of Holdings LLC, and upon consummation of this offering, Accelevation Holdings Corp. will initially own approximately          % of the economic interest in Holdings LLC but will have 100% of the voting power and control the management of Holdings LLC. The ownership percentage held by the noncontrolling interest, the LLC Unitholders, will be approximately          %. Net income attributable to the noncontrolling interest will represent approximately          % of net income.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weighted average number of shares underlying the basic earnings per share calculation reflects only the                    shares of Class A common stock outstanding after the offering as they are the only outstanding shares which participate in distributions or dividends by Accelevation Holdings Corp. The net proceeds from the sale of shares of Class A common stock in this offering will be used to acquire            Series A Units of Holdings LLC (or Series A Units if the underwriters exercise their option to purchase additional shares in full) at a purchase price per Series A Unit equal to the initial offering price per share of Class A common stock in this offering, less underwriting discounts and commissions. Pro forma diluted earnings per share is computed by adjusting pro forma net income attributable to Accelevation Holdings Corp. and the weighted average shares of Class A common stock outstanding to give effect to potentially dilutive securities that qualify as participating securities using the treasury stock method, as applicable. Shares of Class B common stock are not participating securities and therefore are not included in the calculation of pro forma basic earnings per share. LLC Units, together with an equal number of shares of Class B common stock, may be exchanged, at our option, for shares of our Class A common stock or for cash. After evaluating the potential dilutive effect under the if-converted method, the outstanding LLC Units for the assumed exchange of noncontrolling interests were determined to be antidilutive and thus were excluded in the computation of diluted earnings per share. The following table sets forth a reconciliation of the numerators and denominators used to compute pro forma basic and diluted earnings per share.</w:t>
      </w:r>
    </w:p>
    <w:tbl>
      <w:tblPr>
        <w:tblW w:w="9985" w:type="dxa"/>
        <w:jc w:val="left"/>
        <w:tblInd w:w="0" w:type="dxa"/>
        <w:tblLayout w:type="fixed"/>
        <w:tblCellMar>
          <w:top w:w="28" w:type="dxa"/>
          <w:left w:w="28" w:type="dxa"/>
          <w:bottom w:w="28" w:type="dxa"/>
          <w:right w:w="28" w:type="dxa"/>
        </w:tblCellMar>
      </w:tblPr>
      <w:tblGrid>
        <w:gridCol w:w="2867"/>
        <w:gridCol w:w="2515"/>
        <w:gridCol w:w="2537"/>
        <w:gridCol w:w="109"/>
        <w:gridCol w:w="109"/>
        <w:gridCol w:w="109"/>
        <w:gridCol w:w="773"/>
        <w:gridCol w:w="399"/>
        <w:gridCol w:w="567"/>
      </w:tblGrid>
      <w:tr>
        <w:trPr/>
        <w:tc>
          <w:tcPr>
            <w:tcW w:w="2867"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7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Twelve months ended </w:t>
              <w:br/>
              <w:t>December 31, 2025</w:t>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Holdings Corp.’s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common stock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Incremental common shares attributable to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common stock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Basic earnings (loss) per share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Diluted earnings (loss) per share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(“MD&amp;A”) summarizes the significant factors affecting the consolidated operating results, financial condition, liquidity and cash flows of the Company as of and for the periods presented below. The following discussion and analysis of our financial condition and results of operations should be read together with (i) our audited consolidated financial statements for the years ended December 31, 2025 and 2024, including the related notes, (ii) our unaudited condensed consolidated financial statements for the three months ended March 31, 2026 and 2025, including the related notes and (iii) the other financial information included elsewhere in this prospectus. </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contains forward-looking statements related to our current plans, estimates and assumptions, and events and financial trends that may affect our future operating results or financial position. We may use terminology such as “aim,” “anticipate,” “assume,” “believe,” “contemplate,” “continue,” “could,” “design,” “due,” “estimate,” “expect,” “goal,” “intend,” “may,” “objective,” “plan,” “positioned,” “potential,” “predict,” “seek,” “should,” “target,” “will,” “would” and other similar expressions to identify forward-looking statements. The forward-looking statements contained herein involve risks and uncertainties. Actual results and timing of selected events could differ materially from those discussed or implied by the forward-looking statements as a result of various factors, including those discussed below and detailed elsewhere in this prospectus, particularly in the sections entitled “Risk Factors” and “Forward-Looking Statements.”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Unless we state otherwise or the context otherwise requires, the terms “we,” “us,” “our,” “our business,” “the Company,” “Accelevation” and similar references refer: (i) on or following the consummation of the Organizational Transactions, including this offering, to Accelevation Holdings Corp. and its consolidated subsidiaries, including Holdings LLC, and (ii) prior to the consummation of the Organizational Transactions, including this offering, to (a) Accelevation Holding Company and its consolidated subsidiaries for the Predecessor period and (b) Holdings LLC and its consolidated subsidiaries for the Successor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vertically integrated infrastructure platform that designs, manufactures and installs power distribution and white space infrastructure products for mission-critical environments. We help hyperscale, colocation, AI, cloud and other large-scale data center customers accelerate deployment through integrated, factory-built solutions designed for speed, scalability and deployment certainty. As customers race to bring new compute capacity online, white space infrastructure is becoming more complex and demanding than ever before. AI-driven deployments require greater power density, more advanced cooling architectures, liquid-cooling readiness and tighter coordination across power, cooling and structural systems, while chip architectures, power requirements, cooling methods and customer-specific standards continue to evolve. Customers increasingly need partners that can move quickly, adapt in real time and coordinate across design, manufacturing, power, cooling, structure and installation, while existing catalog-based approaches are often not built for the speed, customization or accountability required in next-generation data center deployments.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believe Accelevation is optimally positioned to address these challenges through our vertically integrated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 xml:space="preserve">operating model. By bringing engineering, manufacturing, electrical scope, installation and project coordination together under a single platform, we provide customers with a unified partner across an expanding portion of the white space infrastructure stack. We believe this model reduces deployment complexity, improves schedule control, accelerates installation timelines and enables faster adaptation to evolving customer requirements and changing job-site conditions.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headquartered in Miamisburg, Ohio, and our principal manufacturing and operating facilities are located in southwest Ohio, Tennessee, Mississippi and Virginia.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and we believe our revenue per square foot and available capacity compare favorably to narrower competitors. From 2024 to 2025, our revenues grew 146.9% to $447.8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performance of our business and our future success depend upon several critical factors. While each presents significant opportunities, they also pose important challenges that we must successfully address to sustain growth and improve our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Data Center Capital Investment and AI-Driven Demand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substantially all of our revenue from our offerings sold into the data center industry. Demand for our products is being driven by the rapid growth of cloud computing, AI and broader digital workloads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Levels of investment in new data center capacity are influenced by the pace of innovation in compute architectures, the availability of power and land in target markets, the cost and availability of capital and the regulatory environment for new construction.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Customer Concentration and Hyperscale Program Cadence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generated from a relatively small number of hyperscale and colocation customers, and we expect this concentration to persist. Our revenue in any given quarter or year can be materially affected by the pace at which individual customers release purchase orders on multi-building campus programs and by their decisions to accelerate, delay or reallocate phases of those programs. As we secure additional framework arrangements with major hyperscale operators, we believe the size and lead-time visibility of our backlog should improve, although period-to-period results may continue to reflect program irregularities.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Product Offering Mix and Impact on Margins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profit margins we earn vary based on the mix between Infrastructure Solutions and Power Products, the proportion of revenue derived from on-site installation and integration services, the size and manufacturing content of individual orders and the degree of customization. We typically earn higher gross margins on engineered, factory-finished products (including our SkyBridge modular platform, high-density RPPs and Power Products integrated into modular deployments) than on installed services and certain resold or pass-through items. As we continue to shift work from the field into controlled manufacturing environments through greater modular and prefabricated content, we expect to improve operating leverage across our platform. Our overall gross margins can vary meaningfully between periods based on offering mix related to projects completed within a particular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Raw Material and Labor Inputs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largest raw material exposures are structural steel, copper, aluminum and the electrical components used in our Power Products, including busbars, electrical accessories and monitoring electronics. Steel and copper prices are subject to significant volatility, and our component supply is exposed to global supply chain conditions and to the imposition of tariffs on imported goods. The cost of hourly manufacturing labor in the markets where our facilities are located, including southwest Ohio, Mississippi and Virginia also affects our profit margins, particularly as we add personnel to support capacity expansion. Our profit margins are influenced by our ability to pass through changes in raw material and component costs to our customers, by the structure of our supply agreements, and by our ability to manage inventory levels through periods of volatile pricing.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Capacity Expansion and Utilization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undertaken a significant expansion of our manufacturing footprint to address the demand we are seeing from hyperscale and colocation customers. From the start of 2025 to June 2026, our operating footprint has expanded from less than 270,000 square feet to approximately 1.5 million square feet. This rapid expansion has been relatively capital-light, and we have purpose-built this footprint to support hyperscalers’ specific needs, with fast and flexible production lines, domestic manufacturing, shorter supply chains and the ability to innovate and adjust products quickly. Higher capacity utilization across our facilities typically improves our gross margins through better fixed-cost absorption, while periods of rapid capacity additions can temporarily compress margins as new facilities ramp. We continue to add capacity on a regular cadence to stay ahead of customer demand, and we believe continued investments in automation, robotics and welding efficiency initiatives can increase throughput, reduce lead times and further improve margins.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profit margins also benefit from the degree to which we manufacture the key sub-assemblies of our products in-house rather than rely on third-party suppliers; for example, we fabricate our TechFrame and SkyBridge structural systems and build our RPPs and branch circuit whips at our own facilities. Changes in our capacity utilization and the level of in-house versus purchased content in our products can influence our pricing and gross margins in any given period.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the following key metrics to evaluate our business, measure our performance, identify trends affecting our business, formulate business plans and make strategic decisions. Certain of these measures are not financial measures calculated in accordance with GAAP and should not be considered as substitutes for financial measures that have been calculated in accordance with GAAP.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financial highlights for the periods indicated:</w:t>
      </w:r>
    </w:p>
    <w:tbl>
      <w:tblPr>
        <w:tblW w:w="10205" w:type="dxa"/>
        <w:jc w:val="left"/>
        <w:tblInd w:w="0" w:type="dxa"/>
        <w:tblLayout w:type="fixed"/>
        <w:tblCellMar>
          <w:top w:w="28" w:type="dxa"/>
          <w:left w:w="28" w:type="dxa"/>
          <w:bottom w:w="28" w:type="dxa"/>
          <w:right w:w="28" w:type="dxa"/>
        </w:tblCellMar>
      </w:tblPr>
      <w:tblGrid>
        <w:gridCol w:w="1226"/>
        <w:gridCol w:w="1060"/>
        <w:gridCol w:w="1063"/>
        <w:gridCol w:w="109"/>
        <w:gridCol w:w="109"/>
        <w:gridCol w:w="109"/>
        <w:gridCol w:w="264"/>
        <w:gridCol w:w="1038"/>
        <w:gridCol w:w="137"/>
        <w:gridCol w:w="109"/>
        <w:gridCol w:w="109"/>
        <w:gridCol w:w="109"/>
        <w:gridCol w:w="109"/>
        <w:gridCol w:w="109"/>
        <w:gridCol w:w="109"/>
        <w:gridCol w:w="264"/>
        <w:gridCol w:w="1038"/>
        <w:gridCol w:w="137"/>
        <w:gridCol w:w="109"/>
        <w:gridCol w:w="109"/>
        <w:gridCol w:w="109"/>
        <w:gridCol w:w="211"/>
        <w:gridCol w:w="826"/>
        <w:gridCol w:w="109"/>
        <w:gridCol w:w="109"/>
        <w:gridCol w:w="109"/>
        <w:gridCol w:w="109"/>
        <w:gridCol w:w="211"/>
        <w:gridCol w:w="826"/>
        <w:gridCol w:w="160"/>
      </w:tblGrid>
      <w:tr>
        <w:trPr/>
        <w:tc>
          <w:tcPr>
            <w:tcW w:w="122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Backlog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Adjusted Net income and Free Cash Flow are non-GAAP financial measures. Refer to the subsequent discussion of “Non-GAAP Financial Measures” for additional information regarding the calculation of each of these non-GAAP measures and why these non-GAAP measures have been determined to be meaningful to investors, as well as for reconciliations of these non-GAAP measures to the most directly comparable 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(2)Backlog consists of the remaining unrecognized revenue on executed contracts and purchase orders, as well as letters of intent and notices to proceed with respect to purchase orders received in writing. We utilize backlog to provide additional insights regarding trends in our future revenue and our market penetration.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Trends and Factors Impacting Our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Impacts of Expansion and Integration of Product Offerings and Related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June 30, 2024, we began to experience significant growth in the revenue generated from customized solutions that include the integration and installation of several of our product offerings. These solutions typically reflect larger scale projects, with higher contract values, for which revenue is recognized over time as costs are incurred. This shift results in contract values and progress on delivery against contracts having a significantly greater impact on reported revenue than contract volume.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Expansion of Internal Labor and Manufacturing Capacity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response to the growth we experienced, we significantly increased the size of our manufacturing and delivery workforce, including through the use of contract labor. This increase in the size of our workforce has resulted in, and we expect will continue to result in, an increase in labor costs (wages and benefits) recognized in costs of goods sold in our consolidated statements of operations compared to historical reporting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expanded the manufacturing capacity of our operations. During the first half of fiscal year 2025, the lease of a newly constructed, over 264,000 square foot manufacturing facility commenced, representing our largest manufacturing facility and lease commitment at the time of lease commencement. In May 2026, the lease of an additional newly constructed, over 286,000 square foot manufacturing facility commenced. We have also executed a lease for an additional 286,000 square foot manufacturing facility that is expected to commence in 2027. These leases, combined with the associated fixed asset purchases, represent an increase in fixed overhead costs that will continue to impact costs of goods sold in our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increase the size of our workforce and manufacturing capacity commensurate with the growing demand for its products. The timing of our hiring and leasing could impact our gross profit and/or gross profit margin in future periods.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Activities Related to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began to incur significant third-party legal, accounting, audit and consulting costs related to the preparation of regulatory filings required for purposes of this offering and activities commenced as we prepared for the increased regulatory, governance and reporting requirements to which we will be subject as a publicly-traded company. We expect these costs to continue as we expand the executive management team, establish a board of directors, invest in additional internal resources, expand insurance coverage, establish an equity incentive plan and issue awards, and lease additional space in our headquarters building. See Note 1 – Description of Business and Basis of Presentation to our unaudited condensed consolidated financial statements included elsewhere in this prospectus.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 /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(i) experienced a change in control and (ii) consummated various acquisitions as part of its vertical integration strategy. A description of these transactions, as well as their financial effects, is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 January 2, 2025, we experienced a change in control (the “Change in Control Transaction”), resulting in a change in basis in the carrying value of our assets and liabilities—most significantly impacting the carrying values and remaining useful lives of our reported intangible assets, as well as the related amortization costs reported in our consolidated statements of operations. In addition, this transaction resulted in the extinguishment of our debt that was outstanding as of December 31, 2024, and the replacement of the debt with a substantially greater amount of debt, significantly increasing our periodic interest expense and payments. The cost increases attributable to the Change in Control Transaction will continue to be a part of our cost structure in future reporting periods.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 January 29, 2025, we acquired 100% of the assets of Aura Energy, LLC (“Aura”), a manufacturer of high-density power distribution products. Total consideration for this acquisition was $18.7 million, consisting of $5.3 million of cash, rollover equity with an acquisition-date estimated fair value of $5.3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million and contingent consideration, to be settled over a period of five years, with an acquisition-date estimated fair value of $8.2 million. The purpose of this acquisition was to enhance our data center power offerings, adding the design, manufacture and installation of custom power distribution units, remote power panels and other UL-certified power distribution solutions to our portfolio of Power Products and solutions. At the time of acquisition, Aura was pre-revenue, and this acquisition did not contribute materially to our reported revenue or costs of goods sold between the date of acquisition and December 31, 2025. The acquisition of Aura has contributed to an increase in our reported selling, general and administrative expense (“SG&amp;A”)—primarily wages and benefits—for the periods subsequent to the acquisition date. These cost increases related to the acquisition of Aura will continue to be a part of our cost structure in future reporting periods.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 April 28, 2025, we acquired the assets of Earnest Solutions, LLC (“Earnest”), a power consulting, design, integration and implementation firm. Total consideration for this acquisition was $6.0 million, which we made to enhance our ability to develop and deliver customer power distribution solutions at scale for data center environments.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 October 6, 2025, we acquired SteelPro LLC and SteelPro Memphis, LLC (collectively “SteelPro”), a designer and fabricator of structural steel solutions for both commercial and industrial markets. Total consideration for this acquisition was $43.5 million, consisting of $35.4 million of cash and rollover equity with an acquisition-date estimated fair value of $8.1 million. The purpose of this acquisition was to vertically integrate SteelPro, a supplier prior to consummation of the acquisition, into our existing operations, as well as to expand our operating capacity. The acquisition of SteelPro contributed to an increase in our reported costs of goods sold and selling, general and administrative expense—primarily wages and benefits and depreciation expense—for the periods subsequent to the acquisition date. Our reported results of operations for the year ended December 31, 2025 include $5.9 million and $0.8 million of revenue and net loss, respectively, related to the operations of SteelPro subsequent to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effects described above, acquisition-related costs recognized during the year ended December 31, 2025 in connection with the consummation of the Change in Control Transaction and the acquisitions of Aura, Earnest and SteelPro totaled $7.1 million. See Note 3 – Acquisitions to our audited consolidated financial statements included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Key Components of Results of Operations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line items in our consolidated statements of operations.</w:t>
      </w:r>
    </w:p>
    <w:p>
      <w:pPr>
        <w:pStyle w:val="TextBody"/>
        <w:bidi w:val="0"/>
        <w:spacing w:lineRule="auto" w:line="288" w:before="120" w:after="283"/>
        <w:jc w:val="both"/>
        <w:rPr/>
      </w:pPr>
      <w:r>
        <w:rPr>
          <w:rFonts w:ascii="Times New Roman;serif" w:hAnsi="Times New Roman;serif"/>
          <w:b/>
          <w:i/>
          <w:color w:val="000000"/>
          <w:sz w:val="20"/>
        </w:rPr>
        <w:t>Revenue—</w:t>
      </w:r>
      <w:r>
        <w:rPr>
          <w:rFonts w:ascii="Times New Roman;serif" w:hAnsi="Times New Roman;serif"/>
          <w:b w:val="false"/>
          <w:color w:val="000000"/>
          <w:sz w:val="20"/>
        </w:rPr>
        <w:t>Revenue consists of amounts earned from the manufacture and sale of customized infrastructure solutions, as well as amounts earned from the sale and delivery of standard products. We recognize revenue related to our customized infrastructure solutions contracts on an over-time basis, and recognize revenue related to our standard product contracts as of a point in time. Contract values attributable to our customized infrastructure solution contracts are generally significantly higher than the contract values attributable to our standard products. This is due to the substantially greater amount of materials, labor, customization and integration of our products, increased complexity and longer periods of delivery, inclusive of installation periods, attributable to the delivery of our customized infrastructure solutions. Due to the significantly higher contract values, period-over-period changes in the volume or size of our customized infrastructure solutions contracts can have a materially greater impact on our reported revenue. Point-in-time revenue is more significantly impacted by the volume of the standard products that we deliver, whether due to an increase in the number of contracts executed or the volume of our standard products that we deliver per contract.</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Customized Infrastructure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Customized infrastructure solutions consist of integrated “white space” systems that may include any combination of structural infrastructure for power, cooling and fiber/cable conveyance, thermal containment, design, installation and lifecycle services and certain third-party monitoring components. These customized infrastructure solutions are by their nature, generally, delivered over a longer term. The promise to manufacture and install an integrated white space is considered a single performance obligation, for which we recognize revenue over time using the cost-to-cost method (an input method). Under the cost-to-cost method, progress on a contract is measured based on costs incurred relative to total estimated costs to complete the contract, as control has been deemed to transfer continuously to the customer as we perform, these arrangements have been deemed to have no alternative use, and we have an enforceable right to payment upon customer termination.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Standard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Standard products primarily consist of access panels, containment panels and systems, doors, including dual sliding doors and Power Products, such as power panels and branch circuit whips, sold on a standalone basis under contracts that do not require significant customization and have shorter manufacturing and delivery cycles. Revenue for these products is recognized at a point in time when control transfers to the customer, which generally occurs upon shipment or delivery, depending on contractual shipping terms.</w:t>
      </w:r>
    </w:p>
    <w:p>
      <w:pPr>
        <w:pStyle w:val="TextBody"/>
        <w:bidi w:val="0"/>
        <w:spacing w:lineRule="auto" w:line="288" w:before="120" w:after="283"/>
        <w:jc w:val="both"/>
        <w:rPr/>
      </w:pPr>
      <w:r>
        <w:rPr>
          <w:rFonts w:ascii="Times New Roman;serif" w:hAnsi="Times New Roman;serif"/>
          <w:b/>
          <w:i/>
          <w:color w:val="000000"/>
          <w:sz w:val="20"/>
        </w:rPr>
        <w:t>Costs of Goods Sold—C</w:t>
      </w:r>
      <w:r>
        <w:rPr>
          <w:rFonts w:ascii="Times New Roman;serif" w:hAnsi="Times New Roman;serif"/>
          <w:b w:val="false"/>
          <w:color w:val="000000"/>
          <w:sz w:val="20"/>
        </w:rPr>
        <w:t>ost of goods sold consists primarily of direct costs and allocated indirect costs related to the sale of our products. Direct costs include purchased materials, labor, and shipping, as well as other costs directly related to the execution of a specific contract. Indirect costs include manufacturing facility lease costs, depreciation and overhead expenses. Our reported costs of goods sold are affected by our sales volumes, the cost of raw materials, including steel, aluminum, copper, electrical components, polycarbonate and other key raw materials, the cost of components, fuel costs and other items. We currently do not hedge against changes in the price of raw materials.</w:t>
      </w:r>
    </w:p>
    <w:p>
      <w:pPr>
        <w:pStyle w:val="TextBody"/>
        <w:bidi w:val="0"/>
        <w:spacing w:lineRule="auto" w:line="288" w:before="120" w:after="283"/>
        <w:jc w:val="both"/>
        <w:rPr/>
      </w:pPr>
      <w:r>
        <w:rPr>
          <w:rFonts w:ascii="Times New Roman;serif" w:hAnsi="Times New Roman;serif"/>
          <w:b/>
          <w:i/>
          <w:color w:val="000000"/>
          <w:sz w:val="20"/>
        </w:rPr>
        <w:t>Selling, General and Administrative Expenses—</w:t>
      </w:r>
      <w:r>
        <w:rPr>
          <w:rFonts w:ascii="Times New Roman;serif" w:hAnsi="Times New Roman;serif"/>
          <w:b w:val="false"/>
          <w:color w:val="000000"/>
          <w:sz w:val="20"/>
        </w:rPr>
        <w:t xml:space="preserve">Selling, general and administrative expenses consist primarily of salaries, commissions expense, share based compensation, employee benefits and payroll taxes related to our executives and our sales, finance, accounting, human resources, IT, engineering and legal organizations, travel expenses, corporate office facility costs, marketing expenses, costs incurred for professional services and other costs that do not relate directly to the manufacturing of our products. Costs incurred for professional services include audit, legal, tax and consulting fees. </w:t>
      </w:r>
    </w:p>
    <w:p>
      <w:pPr>
        <w:pStyle w:val="TextBody"/>
        <w:bidi w:val="0"/>
        <w:spacing w:lineRule="auto" w:line="288" w:before="120" w:after="283"/>
        <w:jc w:val="both"/>
        <w:rPr/>
      </w:pPr>
      <w:r>
        <w:rPr>
          <w:rFonts w:ascii="Times New Roman;serif" w:hAnsi="Times New Roman;serif"/>
          <w:b/>
          <w:i/>
          <w:color w:val="000000"/>
          <w:sz w:val="20"/>
        </w:rPr>
        <w:t>Amortization of Intangible Assets—</w:t>
      </w:r>
      <w:r>
        <w:rPr>
          <w:rFonts w:ascii="Times New Roman;serif" w:hAnsi="Times New Roman;serif"/>
          <w:b w:val="false"/>
          <w:color w:val="000000"/>
          <w:sz w:val="20"/>
        </w:rPr>
        <w:t>Costs attributable to the amortization of intangible assets are non-cash in nature and primarily relate to the amortization of customer relationship, acquired technology and trade name intangible assets recognized in connection with acquisition transactions.</w:t>
      </w:r>
    </w:p>
    <w:p>
      <w:pPr>
        <w:pStyle w:val="TextBody"/>
        <w:bidi w:val="0"/>
        <w:spacing w:lineRule="auto" w:line="288" w:before="120" w:after="283"/>
        <w:jc w:val="both"/>
        <w:rPr/>
      </w:pPr>
      <w:r>
        <w:rPr>
          <w:rFonts w:ascii="Times New Roman;serif" w:hAnsi="Times New Roman;serif"/>
          <w:b/>
          <w:i/>
          <w:color w:val="000000"/>
          <w:sz w:val="20"/>
        </w:rPr>
        <w:t>Related Party Expenses—</w:t>
      </w:r>
      <w:r>
        <w:rPr>
          <w:rFonts w:ascii="Times New Roman;serif" w:hAnsi="Times New Roman;serif"/>
          <w:b w:val="false"/>
          <w:color w:val="000000"/>
          <w:sz w:val="20"/>
        </w:rPr>
        <w:t xml:space="preserve">Related party expenses consist of fees and expense reimbursements paid to our Principal Stockholder under management services agreements. Related party expenses also include costs incurred for services provided by (i) entities that have been deemed affiliates (e.g., based upon common ownership) or (ii) entities for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which it has been determined that either we or the entity has the ability to exert significant influence (e.g., due to common management team members or familial relationships).</w:t>
      </w:r>
    </w:p>
    <w:p>
      <w:pPr>
        <w:pStyle w:val="TextBody"/>
        <w:bidi w:val="0"/>
        <w:spacing w:lineRule="auto" w:line="288" w:before="120" w:after="283"/>
        <w:jc w:val="left"/>
        <w:rPr/>
      </w:pPr>
      <w:r>
        <w:rPr>
          <w:rFonts w:ascii="Times New Roman;serif" w:hAnsi="Times New Roman;serif"/>
          <w:b/>
          <w:i/>
          <w:color w:val="000000"/>
          <w:sz w:val="20"/>
        </w:rPr>
        <w:t>Impairment of Assets Held for Sale—</w:t>
      </w:r>
      <w:r>
        <w:rPr>
          <w:rFonts w:ascii="Times New Roman;serif" w:hAnsi="Times New Roman;serif"/>
          <w:b w:val="false"/>
          <w:color w:val="000000"/>
          <w:sz w:val="20"/>
        </w:rPr>
        <w:t>Consists of impairment charges against a subsidiary based on its estimated fair value less cost to sell.</w:t>
      </w:r>
    </w:p>
    <w:p>
      <w:pPr>
        <w:pStyle w:val="TextBody"/>
        <w:bidi w:val="0"/>
        <w:spacing w:lineRule="auto" w:line="288" w:before="120" w:after="283"/>
        <w:jc w:val="left"/>
        <w:rPr/>
      </w:pPr>
      <w:r>
        <w:rPr>
          <w:rFonts w:ascii="Times New Roman;serif" w:hAnsi="Times New Roman;serif"/>
          <w:b/>
          <w:i/>
          <w:color w:val="000000"/>
          <w:sz w:val="20"/>
        </w:rPr>
        <w:t>Interest Income—</w:t>
      </w:r>
      <w:r>
        <w:rPr>
          <w:rFonts w:ascii="Times New Roman;serif" w:hAnsi="Times New Roman;serif"/>
          <w:b w:val="false"/>
          <w:color w:val="000000"/>
          <w:sz w:val="20"/>
        </w:rPr>
        <w:t>Consists primarily of interest income earned on cash and cash equivalents.</w:t>
      </w:r>
    </w:p>
    <w:p>
      <w:pPr>
        <w:pStyle w:val="TextBody"/>
        <w:bidi w:val="0"/>
        <w:spacing w:lineRule="auto" w:line="288" w:before="120" w:after="283"/>
        <w:jc w:val="both"/>
        <w:rPr/>
      </w:pPr>
      <w:r>
        <w:rPr>
          <w:rFonts w:ascii="Times New Roman;serif" w:hAnsi="Times New Roman;serif"/>
          <w:b/>
          <w:i/>
          <w:color w:val="000000"/>
          <w:sz w:val="20"/>
        </w:rPr>
        <w:t>Interest Expense—</w:t>
      </w:r>
      <w:r>
        <w:rPr>
          <w:rFonts w:ascii="Times New Roman;serif" w:hAnsi="Times New Roman;serif"/>
          <w:b w:val="false"/>
          <w:color w:val="000000"/>
          <w:sz w:val="20"/>
        </w:rPr>
        <w:t xml:space="preserve">Interest expense consists primarily of amounts incurred on borrowings under our Credit Agreement. Interest expense also consists of swap receipts and/or payments and changes in the fair value of our interest rate swaps. See Note 14 – Fair Value Measurement to our audited consolidated financial statements included elsewhere in this prospectus. </w:t>
      </w:r>
    </w:p>
    <w:p>
      <w:pPr>
        <w:pStyle w:val="TextBody"/>
        <w:bidi w:val="0"/>
        <w:spacing w:lineRule="auto" w:line="288" w:before="120" w:after="283"/>
        <w:jc w:val="both"/>
        <w:rPr/>
      </w:pPr>
      <w:r>
        <w:rPr>
          <w:rFonts w:ascii="Times New Roman;serif" w:hAnsi="Times New Roman;serif"/>
          <w:b/>
          <w:i/>
          <w:color w:val="000000"/>
          <w:sz w:val="20"/>
        </w:rPr>
        <w:t>Other Income, net—</w:t>
      </w:r>
      <w:r>
        <w:rPr>
          <w:rFonts w:ascii="Times New Roman;serif" w:hAnsi="Times New Roman;serif"/>
          <w:b w:val="false"/>
          <w:color w:val="000000"/>
          <w:sz w:val="20"/>
        </w:rPr>
        <w:t>Reflects miscellaneous income and expense unrelated to our core business activities.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Results for the Three Months Ended March 31, 2026 Compared to the Three Months Ended March 31, 2025</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summarizes our results of operations for the three months ended</w:t>
      </w:r>
      <w:r>
        <w:rPr>
          <w:color w:val="000000"/>
          <w:shd w:fill="FFFFFF" w:val="clear"/>
        </w:rPr>
        <w:t xml:space="preserve"> </w:t>
      </w:r>
      <w:r>
        <w:rPr>
          <w:rFonts w:ascii="Times New Roman;serif" w:hAnsi="Times New Roman;serif"/>
          <w:b w:val="false"/>
          <w:color w:val="000000"/>
          <w:sz w:val="20"/>
          <w:shd w:fill="FFFFFF" w:val="clear"/>
        </w:rPr>
        <w:t xml:space="preserve">March 31, 2026 and March 31, 2025, </w:t>
      </w:r>
      <w:r>
        <w:rPr>
          <w:rFonts w:ascii="Times New Roman;serif" w:hAnsi="Times New Roman;serif"/>
          <w:b w:val="false"/>
          <w:color w:val="000000"/>
          <w:sz w:val="20"/>
        </w:rPr>
        <w:t>and the changes between those periods. This information is derived from our accompanying unaudited condensed consolidated financial statements included elsewhere in this prospectus and prepared in accordance with GAAP. The period-to-period comparisons of our historical results are not necessarily indicative of the results that may be expected in the future, including for the reasons described above under “Trends and Factors Impacting Our Results of Operations”.</w:t>
      </w:r>
    </w:p>
    <w:tbl>
      <w:tblPr>
        <w:tblW w:w="10055" w:type="dxa"/>
        <w:jc w:val="left"/>
        <w:tblInd w:w="0" w:type="dxa"/>
        <w:tblLayout w:type="fixed"/>
        <w:tblCellMar>
          <w:top w:w="28" w:type="dxa"/>
          <w:left w:w="28" w:type="dxa"/>
          <w:bottom w:w="28" w:type="dxa"/>
          <w:right w:w="28" w:type="dxa"/>
        </w:tblCellMar>
      </w:tblPr>
      <w:tblGrid>
        <w:gridCol w:w="1592"/>
        <w:gridCol w:w="1400"/>
        <w:gridCol w:w="140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08"/>
        <w:gridCol w:w="308"/>
        <w:gridCol w:w="404"/>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pPr>
      <w:r>
        <w:rPr>
          <w:rFonts w:ascii="Times New Roman;serif" w:hAnsi="Times New Roman;serif"/>
          <w:b/>
          <w:i/>
          <w:color w:val="000000"/>
          <w:sz w:val="20"/>
        </w:rPr>
        <w:t>n/m</w:t>
      </w:r>
      <w:r>
        <w:rPr>
          <w:color w:val="000000"/>
        </w:rPr>
        <w:t xml:space="preserve"> – </w:t>
      </w:r>
      <w:r>
        <w:rPr>
          <w:rFonts w:ascii="Times New Roman;serif" w:hAnsi="Times New Roman;serif"/>
          <w:b w:val="false"/>
          <w:color w:val="000000"/>
          <w:sz w:val="20"/>
        </w:rPr>
        <w:t xml:space="preserve">Used here and throughout this MD&amp;A to denote amounts determined to be not meaningful, as they would reflect percentages determined based upon (i) division by $0 or (ii) comparisons of amounts with opposite signs.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amounts of revenue that we recognized on an over-time basis and on a point-in-time basis for the three months ended March 31, 2026, as compared to the three months ended March 31, 2025, as well as the changes in the mix of our revenue recognized on an over-time basis versus point-in-time basis for each respective period.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tbl>
      <w:tblPr>
        <w:tblW w:w="9932"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1"/>
        <w:gridCol w:w="826"/>
        <w:gridCol w:w="109"/>
        <w:gridCol w:w="109"/>
        <w:gridCol w:w="109"/>
        <w:gridCol w:w="109"/>
        <w:gridCol w:w="307"/>
        <w:gridCol w:w="309"/>
        <w:gridCol w:w="292"/>
        <w:gridCol w:w="109"/>
        <w:gridCol w:w="109"/>
        <w:gridCol w:w="109"/>
        <w:gridCol w:w="211"/>
        <w:gridCol w:w="721"/>
        <w:gridCol w:w="109"/>
        <w:gridCol w:w="109"/>
        <w:gridCol w:w="109"/>
        <w:gridCol w:w="109"/>
        <w:gridCol w:w="307"/>
        <w:gridCol w:w="309"/>
        <w:gridCol w:w="292"/>
        <w:gridCol w:w="109"/>
        <w:gridCol w:w="109"/>
        <w:gridCol w:w="109"/>
        <w:gridCol w:w="211"/>
        <w:gridCol w:w="826"/>
        <w:gridCol w:w="109"/>
        <w:gridCol w:w="109"/>
        <w:gridCol w:w="109"/>
        <w:gridCol w:w="109"/>
        <w:gridCol w:w="308"/>
        <w:gridCol w:w="308"/>
        <w:gridCol w:w="316"/>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Over-time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revenue increased $198.2 million, or 342.7%, as compared to the three months ended March 31, 2025. This increase in revenue for the three months ended March 31, 2026 was driven by (i) a $155.1 million, or 307.5%, increase in over-time revenue primarily attributable to customized infrastructure solutions recognized on an over-time basis and (ii) a $43.1 million, or 583.6%, increase in revenue attributable to standard products recognized on a point-in-time basis.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$155.1 million increase in revenue recognized over time for the three months ended March 31, 2026 was primarily driven by (i) an 86% increase in the number of customized infrastructure solutions contracts for which revenue was recognized over time during the three months ended March 31, 2026, when compared to the three months ended March 31, 2025, and (ii) generally higher contract values. The increase in the number of customized infrastructure solutions contracts during the three months ended March 31, 2026 is due to the timing of when we began to execute more contracts of this nature, which was not until the back half of the year ended December 31, 2024. This is a growing part of our business and corresponds with greater demand for integrated product and delivery models that require the involvement of fewer individual vendors. The increase in average customized infrastructure solutions contract values during the three months ended March 31, 2026 was due to an increase in the scale of customer projects, expanded offerings within our solutions and additional manufacturing capacity. As a result of the increase in the number of customized infrastructure solutions contracts and generally higher contract values, aggregate customized infrastructure solutions contract values on which over-time revenue was recognized for the three months ended March 31, 2026 totaled $791.5 million. By comparison, aggregate infrastructure solutions contact values on which over-time revenue was recognized for the three months ended March 31, 2025 totaled $258.5 million. The amount of over-time revenue recognized at the individual contract level is based upon our estimates of progress towards contract completion using the cost-to-cost method, as further described under “Revenue Recognition” within our discussion of “Critical Accounting Policies and Estimates”. As of both March 31, 2026 and March 31, 2025, a substantial portion of the aggregate contract value related to revenue contracts that contributed to our over-time revenue reported for the three months ended March 31, 2026 and March 31, 2025, respectively, was not yet recognized as revenue. Over-time revenue recognized in future periods in connection with the delivery of our customized infrastructure solutions will continue to reflect the impacts of both (a) changes in the number and size of the underlying contracts and (b) the measurement of progress against the underlying contracts.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$43.1 million increase in our point-in-time revenue for the three months ended March 31, 2026, as compared to the three months ended March 31, 2025, was substantially driven by an increase in revenue from our power and containment products sold on a standalone basis. For the three months ended March 31, 2026, contract values for these products were significantly greater due to higher volumes within orders. The significance of the increase in our point-in-time revenue for the three months ended March 31, 2026 resulted in point-in-time revenue increasing to 19.7% of total revenue for the period, as compared to 12.8% of total revenue for the three months ended March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Cost of goods sold </w:t>
      </w:r>
    </w:p>
    <w:tbl>
      <w:tblPr>
        <w:tblW w:w="7269" w:type="dxa"/>
        <w:jc w:val="left"/>
        <w:tblInd w:w="0" w:type="dxa"/>
        <w:tblLayout w:type="fixed"/>
        <w:tblCellMar>
          <w:top w:w="28" w:type="dxa"/>
          <w:left w:w="28" w:type="dxa"/>
          <w:bottom w:w="28" w:type="dxa"/>
          <w:right w:w="28" w:type="dxa"/>
        </w:tblCellMar>
      </w:tblPr>
      <w:tblGrid>
        <w:gridCol w:w="592"/>
        <w:gridCol w:w="521"/>
        <w:gridCol w:w="522"/>
        <w:gridCol w:w="109"/>
        <w:gridCol w:w="109"/>
        <w:gridCol w:w="10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308"/>
        <w:gridCol w:w="308"/>
        <w:gridCol w:w="316"/>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cost of goods increased $151.7 million, or 415.2%, as compared to the three months ended March 31, 2025. This increase in cost of goods sold for the three months ended March 31, 2026 was most significantly driven by the 342.7% increase in revenue recognized for the period, as compared to the three months ended March 31, 2025. However, the amount of increase in certain components of costs of goods sold, when measured as a percentage of the total costs recognized for such component during the three months ended March 31, 2025, exceeded the 342.7% increase in revenue recognized for the three months ended March 31, 2026.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recognized for, and the variances in, the components of our costs of goods sold for the three months ended March 31, 2026, as compared to the three months ended March 31, 2025.</w:t>
      </w:r>
    </w:p>
    <w:tbl>
      <w:tblPr>
        <w:tblW w:w="7794"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308"/>
        <w:gridCol w:w="308"/>
        <w:gridCol w:w="316"/>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 costs increased $89.1 million, or 456.5%, for the three months ended March 31, 2026, as compared to the three months ended March 31, 2025. The 456.5% increase in materials costs for the period, exceeded the 342.7% increase in revenue for the period, due primarily to a less favorable mix.</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Labor costs increased $44.5 million, or 336.2%, for the three months ended March 31, 2026, as compared to the three months ended March 31, 2025. This increase in labor costs was relatively commensurate with the 342.7% increase in revenue for the three months ended March 31, 2026.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costs of goods sold increased $18.1 million, or 479.0%, for the three months ended March 31, 2026, as compared to the three months ended March 31, 2025. The $18.1 million increase in other costs of goods sold primarily relates to (i) a $6.5 million increase in travel costs, corresponding to the significant increase in revenue generated from our customized infrastructure solution projects, which have required extensive travel of field workers to the related job sites; (ii) the recognition of an $8.7 million contract loss provision on certain customized infrastructure solutions contracts for which total contract costs at completion are expected to exceed total transaction price; (iii) a $1.2 million increase in equipment rental expense, attributable to the significant increase in revenue generated from our customized infrastructure solution projects which, at times, have required rentals at the job sites; and (iv) a $1.1 million increase in facility lease expense, which is primarily attributable to the commencement of the lease of a primary manufacturing facility in March 2025, for which lease costs were incurred for the full three months ended March 31, 2026, as well as the commencement of several other warehouse and assembly leases later in the year ended December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tbl>
      <w:tblPr>
        <w:tblW w:w="7426"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360"/>
        <w:gridCol w:w="193"/>
        <w:gridCol w:w="483"/>
        <w:gridCol w:w="186"/>
        <w:gridCol w:w="186"/>
        <w:gridCol w:w="186"/>
        <w:gridCol w:w="360"/>
        <w:gridCol w:w="193"/>
        <w:gridCol w:w="483"/>
        <w:gridCol w:w="109"/>
        <w:gridCol w:w="109"/>
        <w:gridCol w:w="109"/>
        <w:gridCol w:w="211"/>
        <w:gridCol w:w="721"/>
        <w:gridCol w:w="271"/>
        <w:gridCol w:w="109"/>
        <w:gridCol w:w="109"/>
        <w:gridCol w:w="109"/>
        <w:gridCol w:w="308"/>
        <w:gridCol w:w="308"/>
        <w:gridCol w:w="31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gross profit increased $46.5 million, or 218.3%, as compared to the three months ended March 31, 2025. This increase in gross profit was primarily driven by the 342.7% increase in revenue recognized for the three months ended March 31, 2026, as compared to the three months ended March 31, 2025. Gross profit for the three months ended March 31, 2026 was reduced by the $8.7 million contract loss provision described above. We did not recognize a contract loss provision on any contracts during the three months ended March 31, 2025. Refer to (1) the prior discussion of “Costs of goods sold” for the three months ended March 31, 2026, as compared to the three months ended March 31, 2025, and (2) the subsequent discussion of “Gross margin” for the three months ended March 31, 2026, as compared to the three months ended March 31, 2025, for additional details regarding factors that resulted in us not realizing an increase in gross profit for the three months ended March 31, 2026 that was commensurate with the increase in revenue for the period.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Gross profit margin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margin for the three months ended March 31, 2026 decreased by 10.3% to 26.5%, as compared to a realized gross margin of 36.8% for the three months ended March 31, 2025. Aggregate contract loss provisions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$8.7 million recognized during the three months ended March 31, 2026, which related to customized infrastructure solutions contracts for which total contract costs at completion are expected to exceed their total transaction prices, contributed to a 3.4% reduction to gross profit margin for the period. See above for additional discussion of cost of goods sold impacting gross profit margin.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 increased $9.4 million, or 58.6% to 25.4 million for the three months ended March 31, 2026, as compared to $16.0 million for the three months ended March 31, 2025. The primary drivers of the $9.4 million increase in SG&amp;A expense reported for the three months ended March 31, 2026 are as follows:</w:t>
      </w:r>
    </w:p>
    <w:tbl>
      <w:tblPr>
        <w:tblW w:w="4332"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397"/>
        <w:gridCol w:w="1159"/>
        <w:gridCol w:w="289"/>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Increase / (Decrease)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Wages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28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$9.7 million increase in wages and benefits costs for the three months ended March 31, 2026, as compared to the three months ended March 31, 2025, was primarily driven by (i) a $5.5 million increase in sales commission expense related to revenue growth and (ii) a significant increase in ordinary salaries, wages, and benefits expense due to a significant increase in headcount. Costs attributable to professional services increased $2.2 million for the three months ended March 31, 2026, as compared to the three months ended March 31, 2025, primarily driven by third-party services acquired in connection and in preparation for this offering, including higher accounting, audit and tax fees. Acquisition-related costs decreased $6.0 million for the three months ended March 31, 2026, as compared to the three months ended March 31, 2025, due to the Change in Control Transaction consummated on January 2, 2025 and the acquisition of Aura consummated on January 29,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8123" w:type="dxa"/>
        <w:jc w:val="left"/>
        <w:tblInd w:w="0" w:type="dxa"/>
        <w:tblLayout w:type="fixed"/>
        <w:tblCellMar>
          <w:top w:w="28" w:type="dxa"/>
          <w:left w:w="28" w:type="dxa"/>
          <w:bottom w:w="28" w:type="dxa"/>
          <w:right w:w="28" w:type="dxa"/>
        </w:tblCellMar>
      </w:tblPr>
      <w:tblGrid>
        <w:gridCol w:w="1013"/>
        <w:gridCol w:w="892"/>
        <w:gridCol w:w="899"/>
        <w:gridCol w:w="109"/>
        <w:gridCol w:w="109"/>
        <w:gridCol w:w="109"/>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255"/>
        <w:gridCol w:w="256"/>
        <w:gridCol w:w="316"/>
      </w:tblGrid>
      <w:tr>
        <w:trPr/>
        <w:tc>
          <w:tcPr>
            <w:tcW w:w="10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$1.2 million, or 15.6%, increase in intangible asset amortization expense for the three months ended March 31, 2026, as compared to the three months ended March 31, 2025, primarily relates to the timing and impacts of our acquisitions of Aura, Earnest and SteelPro, which resulted in the recognition of incremental intangible assets with aggregate initial carry values of $14.5 million, $0.2 million and $13.6 million as of their respective acquisition dates. The $7.7 million of intangible asset amortization expense recognized for the three months ended March 31, 2025 only includes two months of amortization expense related to the intangible assets recorded in connection with the acquisition of Aura, and does not include any amortization expense related to the intangible assets recorded in connection with the acquisitions of Earnest and SteelPro; whereas, the $8.9 million of intangible asset amortization expense recognized for the three months ended March 31, 2026 reflects the recognition of amortization expense related to the intangible assets recorded in connection with the Aura, Earnest and SteelPro acquisitions over the entire reporting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2 – Acquisitions to our unaudited condensed consolidated financial statements for the three months ended March 31, 2026 for additional details regarding the intangible assets recorded upon consummation of each of the Aura, Earnest and SteelPro acquisitions.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tbl>
      <w:tblPr>
        <w:tblW w:w="741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65"/>
        <w:gridCol w:w="775"/>
        <w:gridCol w:w="137"/>
        <w:gridCol w:w="137"/>
        <w:gridCol w:w="137"/>
        <w:gridCol w:w="137"/>
        <w:gridCol w:w="265"/>
        <w:gridCol w:w="586"/>
        <w:gridCol w:w="137"/>
        <w:gridCol w:w="109"/>
        <w:gridCol w:w="109"/>
        <w:gridCol w:w="109"/>
        <w:gridCol w:w="211"/>
        <w:gridCol w:w="616"/>
        <w:gridCol w:w="109"/>
        <w:gridCol w:w="109"/>
        <w:gridCol w:w="109"/>
        <w:gridCol w:w="109"/>
        <w:gridCol w:w="308"/>
        <w:gridCol w:w="308"/>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$2.1 million, or 836%, increase in related party expense for the three months ended March 31, 2026, as compared to the three months ended March 31, 2025, primarily relates to $2.1 million of consulting and professional services fees incurred by one of our affiliates for assistance with activities commenced during the three months ended March 31, 2026 related to this offering. We expect to continue to incur significant related party expenses through the completion of this offering. We incurred approximately $0.3 million of management fees related to services provided by our private equity sponsor and majority equity holder during each of the three month periods ended March 31,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Impairment of assets held for sale</w:t>
      </w:r>
    </w:p>
    <w:tbl>
      <w:tblPr>
        <w:tblW w:w="7762"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273"/>
        <w:gridCol w:w="799"/>
        <w:gridCol w:w="141"/>
        <w:gridCol w:w="141"/>
        <w:gridCol w:w="141"/>
        <w:gridCol w:w="141"/>
        <w:gridCol w:w="273"/>
        <w:gridCol w:w="526"/>
        <w:gridCol w:w="141"/>
        <w:gridCol w:w="109"/>
        <w:gridCol w:w="109"/>
        <w:gridCol w:w="109"/>
        <w:gridCol w:w="211"/>
        <w:gridCol w:w="616"/>
        <w:gridCol w:w="109"/>
        <w:gridCol w:w="109"/>
        <w:gridCol w:w="109"/>
        <w:gridCol w:w="109"/>
        <w:gridCol w:w="136"/>
        <w:gridCol w:w="136"/>
        <w:gridCol w:w="19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recorded a $2.1 million impairment charge to reduce the carry value of Workplace Modular Systems, LLC (“WMS”) — our subsidiary that previously had been classified as held for sale to its estimated fair value less cost to sell. The $2.1 million impairment charge was triggered by the continued negotiations for the sale of WMS to the eventual buyer of the subsidiary. We did not report any assets (or asset groups) as held for sale as of March 31, 2025, nor did we recognize any similar impairment charges during the three months ended March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3 – Assets Held for Sale to our unaudited condensed consolidated financial statements for the three months ended March 31, 2026 for additional details regarding the classification of WMS as held for sale.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Non-operating income (expense)</w:t>
      </w:r>
    </w:p>
    <w:tbl>
      <w:tblPr>
        <w:tblW w:w="8198" w:type="dxa"/>
        <w:jc w:val="left"/>
        <w:tblInd w:w="0" w:type="dxa"/>
        <w:tblLayout w:type="fixed"/>
        <w:tblCellMar>
          <w:top w:w="28" w:type="dxa"/>
          <w:left w:w="28" w:type="dxa"/>
          <w:bottom w:w="28" w:type="dxa"/>
          <w:right w:w="28" w:type="dxa"/>
        </w:tblCellMar>
      </w:tblPr>
      <w:tblGrid>
        <w:gridCol w:w="1015"/>
        <w:gridCol w:w="894"/>
        <w:gridCol w:w="895"/>
        <w:gridCol w:w="109"/>
        <w:gridCol w:w="109"/>
        <w:gridCol w:w="109"/>
        <w:gridCol w:w="231"/>
        <w:gridCol w:w="759"/>
        <w:gridCol w:w="119"/>
        <w:gridCol w:w="119"/>
        <w:gridCol w:w="119"/>
        <w:gridCol w:w="119"/>
        <w:gridCol w:w="231"/>
        <w:gridCol w:w="759"/>
        <w:gridCol w:w="119"/>
        <w:gridCol w:w="109"/>
        <w:gridCol w:w="109"/>
        <w:gridCol w:w="109"/>
        <w:gridCol w:w="211"/>
        <w:gridCol w:w="691"/>
        <w:gridCol w:w="109"/>
        <w:gridCol w:w="109"/>
        <w:gridCol w:w="109"/>
        <w:gridCol w:w="109"/>
        <w:gridCol w:w="255"/>
        <w:gridCol w:w="256"/>
        <w:gridCol w:w="316"/>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$0.2 million increase in interest income for the three months ended March 31, 2026 reflects interest earned through sweep accounts during the period; whereas, we did not earn any interest on its deposited cash during the three months ended March 31, 2025. We also maintained a substantially higher cash balance as of the three months ended March 31, 2026, as compared to the three months ended March 31, 2025.</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 million, or 38.7%, increase in interest expense for the three months ended March 31, 2026, as compared to the three months ended March 31, 2025, primarily relates to an increase in our outstanding debt balance to $321.6 million as of March 31, 2026, as compared to $202.4 million as of March 31, 2025, inclusive of incremental net borrowings of $50.0 million during the three months ended March 31, 2026. Our outstanding debt as of both March 31, 2026 and March 31, 2025 was subject to variable interest rates, and variable interest rates charged on outstanding borrowings, excluding borrowings outstanding under our Revolving Credit Facility, were 8.17%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9.32% as of March 31, 2026 and March 31, 2025, respectively. The decrease in interest rates between March 31, 2025 and March 31, 2026 partially offset the increase in interest expense attributable to the higher outstanding debt balance as of March 31, 2026.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provision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and 2025 was 2.1% and (1.7)%, respectively, which is significantly below the combined federal and state statutory tax rate because we are a pass-through entity for federal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Operating Results of the Year Ended December 31, 2025 Compared to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that follows summarizes our consolidated results of operations for the years ended December 31, 2025 and December 31, 2024, and the changes between those periods. This information is derived from our accompanying audited consolidated financial statements included elsewhere in this prospectus and prepared in accordance with GAAP. The period-to-period comparisons of our historical results are not necessarily indicative of the results that may be expected in the future, including for the reasons described above under “Trends and Factors Impacting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a result of the Change in Control Transaction consummated on January 2, 2025 (Refer to Note 3 – Acquisitions to our annual consolidated financial statement for the year ended December 31, 2025) and the corresponding change in the carrying basis of our assets and liabilities due to the application of push down accounting, our operating results for the period from January 1, 2024 through December 31, 2024 and for the period from January 2, 2025 are not comparable and have been separated by a “black line”. Our results of operations for the period from January 1, 2024 through December 31, 2024 have been identified as the “Predecessor”, and are those of Accelevation Holding Company, LLC. Our results of operations for the period from January 2, 2025 through December 31, 2025 have been identified as the “Successor”, and are those of Accelevation LLC. Although the Predecessor’s activities and financial results extend one day beyond the year ended December 31, 2024 to include January 1, 2025, no financial results have been presented for January 1, 2025, which was a holiday on which no material operating activities occurred and, accordingly, there are no material financial results to report.</w:t>
      </w:r>
    </w:p>
    <w:tbl>
      <w:tblPr>
        <w:tblW w:w="10205" w:type="dxa"/>
        <w:jc w:val="left"/>
        <w:tblInd w:w="0" w:type="dxa"/>
        <w:tblLayout w:type="fixed"/>
        <w:tblCellMar>
          <w:top w:w="28" w:type="dxa"/>
          <w:left w:w="28" w:type="dxa"/>
          <w:bottom w:w="28" w:type="dxa"/>
          <w:right w:w="28" w:type="dxa"/>
        </w:tblCellMar>
      </w:tblPr>
      <w:tblGrid>
        <w:gridCol w:w="1425"/>
        <w:gridCol w:w="1192"/>
        <w:gridCol w:w="1170"/>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383"/>
        <w:gridCol w:w="383"/>
        <w:gridCol w:w="579"/>
      </w:tblGrid>
      <w:tr>
        <w:trPr/>
        <w:tc>
          <w:tcPr>
            <w:tcW w:w="142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78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78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Accelevation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ind w:left="0" w:right="0" w:hanging="360"/>
        <w:jc w:val="both"/>
        <w:rPr/>
      </w:pPr>
      <w:r>
        <w:rPr>
          <w:rFonts w:ascii="Times New Roman;serif" w:hAnsi="Times New Roman;serif"/>
          <w:b/>
          <w:i/>
          <w:color w:val="000000"/>
          <w:sz w:val="20"/>
        </w:rPr>
        <w:t>n/m</w:t>
      </w:r>
      <w:r>
        <w:rPr>
          <w:color w:val="000000"/>
        </w:rPr>
        <w:t xml:space="preserve"> – </w:t>
      </w:r>
      <w:r>
        <w:rPr>
          <w:rFonts w:ascii="Times New Roman;serif" w:hAnsi="Times New Roman;serif"/>
          <w:b w:val="false"/>
          <w:color w:val="000000"/>
          <w:sz w:val="18"/>
        </w:rPr>
        <w:t>Used here and throughout this MD&amp;A to denote amounts determined to be not meaningful, as they would reflect percentages determined based upon (i) division by $0 or (ii) comparisons of amounts with opposite signs.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related to our customized infrastructure solutions contracts on an over-time basis, and recognize revenue related to our standard product contracts as of a point in time. Contract values attributable to our customized infrastructure solution contracts are generally significantly higher than the contract values attributable to our standard products. This is due to the substantially greater amount of customization and integration of our products, increased complexity, and longer periods of delivery, inclusive of installation periods, attributable to the delivery of our customized infrastructure solutions. Due to the significantly higher contract values, period-over-period changes in the volume or size of our customized infrastructure solutions contracts can have a materially greater impact on our reported revenue. Point-in-time revenue is more significantly impacted by the volume of the standard products that we deliver, whether due to an increase in the number of contracts executed or the volume of our standard products that we deliver per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amounts of revenue that we recognized on an over-time basis and on a point-in-time basis for the year ended December 31, 2025, as compared to the year ended December 31, 2024, as well as the changes in the mix of our revenue recognized on an over-time basis versus point-in-time basis for each respective period. </w:t>
      </w:r>
    </w:p>
    <w:tbl>
      <w:tblPr>
        <w:tblW w:w="10205" w:type="dxa"/>
        <w:jc w:val="left"/>
        <w:tblInd w:w="0" w:type="dxa"/>
        <w:tblLayout w:type="fixed"/>
        <w:tblCellMar>
          <w:top w:w="28" w:type="dxa"/>
          <w:left w:w="28" w:type="dxa"/>
          <w:bottom w:w="28" w:type="dxa"/>
          <w:right w:w="28" w:type="dxa"/>
        </w:tblCellMar>
      </w:tblPr>
      <w:tblGrid>
        <w:gridCol w:w="661"/>
        <w:gridCol w:w="543"/>
        <w:gridCol w:w="524"/>
        <w:gridCol w:w="109"/>
        <w:gridCol w:w="109"/>
        <w:gridCol w:w="109"/>
        <w:gridCol w:w="211"/>
        <w:gridCol w:w="826"/>
        <w:gridCol w:w="109"/>
        <w:gridCol w:w="109"/>
        <w:gridCol w:w="109"/>
        <w:gridCol w:w="109"/>
        <w:gridCol w:w="307"/>
        <w:gridCol w:w="309"/>
        <w:gridCol w:w="292"/>
        <w:gridCol w:w="109"/>
        <w:gridCol w:w="109"/>
        <w:gridCol w:w="109"/>
        <w:gridCol w:w="109"/>
        <w:gridCol w:w="109"/>
        <w:gridCol w:w="109"/>
        <w:gridCol w:w="211"/>
        <w:gridCol w:w="826"/>
        <w:gridCol w:w="109"/>
        <w:gridCol w:w="109"/>
        <w:gridCol w:w="109"/>
        <w:gridCol w:w="109"/>
        <w:gridCol w:w="307"/>
        <w:gridCol w:w="309"/>
        <w:gridCol w:w="292"/>
        <w:gridCol w:w="109"/>
        <w:gridCol w:w="109"/>
        <w:gridCol w:w="109"/>
        <w:gridCol w:w="211"/>
        <w:gridCol w:w="826"/>
        <w:gridCol w:w="109"/>
        <w:gridCol w:w="109"/>
        <w:gridCol w:w="109"/>
        <w:gridCol w:w="109"/>
        <w:gridCol w:w="308"/>
        <w:gridCol w:w="308"/>
        <w:gridCol w:w="318"/>
      </w:tblGrid>
      <w:tr>
        <w:trPr/>
        <w:tc>
          <w:tcPr>
            <w:tcW w:w="6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Over-time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revenue increased $266.5 million, or 146.9%, as compared to the year ended December 31, 2024. This increase in revenue for the year ended December 31, 2025 was primarily attributable to a $267.1 million, or 244.9%, increase in revenue recognized on an over-time basis, which primarily relates to the delivery of our customized infrastructure solutions.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$267.1 million increase in revenue recognized over time for the year ended December 31, 2025 was primarily driven by (i) a 57% increase in the number of customized infrastructure solutions contracts recognized over time during the year ended December 31, 2025, when compared to the year ended December 31, 2024, and (ii) generally higher contract values. The increase in the number of customized infrastructure solutions contracts during the year ended December 31, 2025 is due to the timing of when we began to execute more contracts of this nature, which was not until back half of the year ended December 31, 2024, and corresponds with greater demand for integrated product and delivery models that require the involvement of fewer individual vendors. The increase in customized infrastructure solutions contract values during the year ended December 31, 2025 was due to an increase in the size and scale of our projects under these contracts. As a result of the increase in the number of customized infrastructure solutions contracts and generally higher contract values, aggregate customized infrastructure solutions contract values on which over-time revenue was recognized for the year ended December 31, 2025 totaled $800.7 million. By comparison, aggregate infrastructure solutions contact values on which over-time revenue was recognized for the year ended December 31, 2024 totaled $150.9 million. The amount of over-time revenue recognized at the individual contract level is based upon our estimates of progress towards contract completion using the cost-to-cost method, as further described under “Revenue Recognition” within our discussion of “Critical Accounting Policies and Estimates”. As of December 31, 2025, a substantially greater portion of the aggregate contract value related to contracts that contributed to our over-time revenue for the year ended December 31, 2025 remained unrecognized, when compared to the unrecognized revenue related to contracts that contributed to our over-time revenue for the year ended December 31, 2024, reflecting a combination of both the timing of when revenue recognition commenced under certain contracts and the size of certain contracts. Over-time revenue recognized in future periods in connection with the delivery of our customized infrastructure solutions will continue to reflect the impacts of both (a) changes in the number and size of the underlying contracts and (b) the measurement of progress against the underlying contracts.</w:t>
      </w:r>
    </w:p>
    <w:p>
      <w:pPr>
        <w:pStyle w:val="TextBody"/>
        <w:bidi w:val="0"/>
        <w:spacing w:before="0" w:after="0"/>
        <w:jc w:val="left"/>
        <w:rPr/>
      </w:pPr>
      <w:r>
        <w:rPr/>
      </w:r>
    </w:p>
    <w:p>
      <w:pPr>
        <w:pStyle w:val="TextBody"/>
        <w:bidi w:val="0"/>
        <w:spacing w:lineRule="auto" w:line="268"/>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experienced a significant increase in the relative mix of our revenue from contracts recognized on an over-time basis, as compared to revenue from contracts recognized on a point-in-time basis. This was due to the significant growth in revenue recognized from customized infrastructure solutions; whereas, revenue recognized from standard products was relatively flat.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Cost of goods sold </w:t>
      </w:r>
    </w:p>
    <w:tbl>
      <w:tblPr>
        <w:tblW w:w="7902" w:type="dxa"/>
        <w:jc w:val="left"/>
        <w:tblInd w:w="0" w:type="dxa"/>
        <w:tblLayout w:type="fixed"/>
        <w:tblCellMar>
          <w:top w:w="28" w:type="dxa"/>
          <w:left w:w="28" w:type="dxa"/>
          <w:bottom w:w="28" w:type="dxa"/>
          <w:right w:w="28" w:type="dxa"/>
        </w:tblCellMar>
      </w:tblPr>
      <w:tblGrid>
        <w:gridCol w:w="592"/>
        <w:gridCol w:w="521"/>
        <w:gridCol w:w="522"/>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578"/>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cost of goods sold increased $180.6 million, or 147.5%, as compared to the year ended December 31, 2024. The total increase in cost of goods sold was primarily driven by the 146.9% increase in the revenue recognized for the year ended December 31, 2025, as compared to the year ended December 31, 2024. The following table presents the amounts recognized for, and the variances in, the components of our costs of goods sold, for the year ended December 31, 2025, as compared to the year ended December 31, 2024:</w:t>
      </w:r>
    </w:p>
    <w:tbl>
      <w:tblPr>
        <w:tblW w:w="9225"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84"/>
        <w:gridCol w:w="1114"/>
        <w:gridCol w:w="147"/>
        <w:gridCol w:w="109"/>
        <w:gridCol w:w="109"/>
        <w:gridCol w:w="109"/>
        <w:gridCol w:w="109"/>
        <w:gridCol w:w="109"/>
        <w:gridCol w:w="109"/>
        <w:gridCol w:w="284"/>
        <w:gridCol w:w="1114"/>
        <w:gridCol w:w="147"/>
        <w:gridCol w:w="109"/>
        <w:gridCol w:w="109"/>
        <w:gridCol w:w="109"/>
        <w:gridCol w:w="211"/>
        <w:gridCol w:w="826"/>
        <w:gridCol w:w="109"/>
        <w:gridCol w:w="109"/>
        <w:gridCol w:w="109"/>
        <w:gridCol w:w="109"/>
        <w:gridCol w:w="308"/>
        <w:gridCol w:w="308"/>
        <w:gridCol w:w="578"/>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costs increased $92.3 million, or 137.1%, for the year ended December 31, 2025, as compared to the year ended December 31, 2024. Material costs for the year ended December 31, 2025 increased less than the 146.9% increase in revenue for the period due to the increase in revenue earned on our customized integrated solutions projects, as a percentage of total revenue. Our higher margin customized integrated solution projects produced 84.0% of our total revenue for the year ended December 31, 2025, as compared to 60.1% of our total revenue for the year ended December 31, 2024.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Labor costs increased $63.8 million, or 137.2%, for the year ended December 31, 2025, as compared to the year ended December 31, 2024. For the year ended December 31, 2025, our labor costs increased at a rate that was commensurate with our revenue growth for the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costs of goods sold increased $24.5 million, or 283.8%, for the year ended December 31, 2025, as compared to the year ended December 31, 2024. The $24.5 million increase in other costs of goods sold primarily relates to (i) an $11.2 million increase in travel costs, corresponding to the significant increase in revenue generated from our customized infrastructure solution projects, which have required extensive travel of field workers to the related job sites; (ii) the recognition of a $3.1 million contract loss provision on certain customized infrastructure solutions contracts for which total contract costs at completion are expected to exceed total transaction price; and (iii) a $4.6 million increase in facility and equipment lease expense, which is primarily attributable to the commencement, or assumption through acquisition, of leases for approximately 447,000 square feet of manufacturing and warehouse space as well as the related equipment during fiscal year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w:t>
      </w:r>
    </w:p>
    <w:tbl>
      <w:tblPr>
        <w:tblW w:w="8222"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211"/>
        <w:gridCol w:w="826"/>
        <w:gridCol w:w="271"/>
        <w:gridCol w:w="109"/>
        <w:gridCol w:w="109"/>
        <w:gridCol w:w="109"/>
        <w:gridCol w:w="109"/>
        <w:gridCol w:w="109"/>
        <w:gridCol w:w="109"/>
        <w:gridCol w:w="211"/>
        <w:gridCol w:w="721"/>
        <w:gridCol w:w="271"/>
        <w:gridCol w:w="109"/>
        <w:gridCol w:w="109"/>
        <w:gridCol w:w="109"/>
        <w:gridCol w:w="211"/>
        <w:gridCol w:w="721"/>
        <w:gridCol w:w="271"/>
        <w:gridCol w:w="109"/>
        <w:gridCol w:w="109"/>
        <w:gridCol w:w="109"/>
        <w:gridCol w:w="308"/>
        <w:gridCol w:w="308"/>
        <w:gridCol w:w="578"/>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gross profit increased $85.8 million, or 145.8%, as compared to the year ended December 31, 2024. This increase in gross profit was primarily driven by, and is commensurate with, the 146.9% increase in the revenue recognized for the year ended December 31, 2025, as compared to the year ended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December 31, 2024. Accordingly, gross profit margin remained relatively unchanged for the year ended December 31, 2025, as compared to the year ended December 31, 2024. The contract loss provision for the year ended December 31, 2025 reduced the gross profit margin by 0.7%, partially offset by the increase of customized infrastructure solutions revenue as a percentage of total revenue.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 increased $33.7 million, or 102.9%, to 66.5 million for the year ended December 31, 2025, as compared to $32.8 million for the year ended December 31, 2024. The primary drivers of the $33.7 million increase in SG&amp;A expense reported for year ended December 31, 2025 are as follows:</w:t>
      </w:r>
    </w:p>
    <w:tbl>
      <w:tblPr>
        <w:tblW w:w="6236"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358"/>
        <w:gridCol w:w="1225"/>
        <w:gridCol w:w="261"/>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Increase / (Decrease)</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Wages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Travel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$20.9 million increase in wages and benefits costs incurred for the year ended December 31, 2025 (Successor), as compared to the year ended December 31, 2024 was primarily driven by (i) a $10.4 million increase in our sales commission expense due to the significant increase in revenue and (ii) a significant increase in ordinary salaries, wages, and benefits expense primarily due to a significant year-over-year increase in our headcount across departments, aligned with our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$5.3 million increase in acquisition-related costs for the year ended December 31, 2025, as compared to the year ended December 31, 2024, was driven by the Change-in-Control Transaction and the acquisitions of Aura, Earnest, and SteelPro during the year ended December 31, 2025. Upon consummation of the acquisition of Aura on January 29, 2025, the Company recorded an $8.2 million liability related to contingent consideration with individually calculated annual settlement payments over the next five years. During the year ended December 31, 2025, the increase in fair value of $2.1 million resulted in a corresponding increase to selling, general, and administrative expense.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$1.5 million increase in travel costs is primarily attributable to the growth of our operations, including the geographies served, driving increased travel of our sales and field service teams.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9763" w:type="dxa"/>
        <w:jc w:val="left"/>
        <w:tblInd w:w="0" w:type="dxa"/>
        <w:tblLayout w:type="fixed"/>
        <w:tblCellMar>
          <w:top w:w="28" w:type="dxa"/>
          <w:left w:w="28" w:type="dxa"/>
          <w:bottom w:w="28" w:type="dxa"/>
          <w:right w:w="28" w:type="dxa"/>
        </w:tblCellMar>
      </w:tblPr>
      <w:tblGrid>
        <w:gridCol w:w="1013"/>
        <w:gridCol w:w="892"/>
        <w:gridCol w:w="899"/>
        <w:gridCol w:w="109"/>
        <w:gridCol w:w="109"/>
        <w:gridCol w:w="109"/>
        <w:gridCol w:w="313"/>
        <w:gridCol w:w="1070"/>
        <w:gridCol w:w="161"/>
        <w:gridCol w:w="109"/>
        <w:gridCol w:w="109"/>
        <w:gridCol w:w="109"/>
        <w:gridCol w:w="109"/>
        <w:gridCol w:w="109"/>
        <w:gridCol w:w="109"/>
        <w:gridCol w:w="348"/>
        <w:gridCol w:w="1017"/>
        <w:gridCol w:w="180"/>
        <w:gridCol w:w="109"/>
        <w:gridCol w:w="109"/>
        <w:gridCol w:w="109"/>
        <w:gridCol w:w="211"/>
        <w:gridCol w:w="721"/>
        <w:gridCol w:w="109"/>
        <w:gridCol w:w="109"/>
        <w:gridCol w:w="109"/>
        <w:gridCol w:w="109"/>
        <w:gridCol w:w="308"/>
        <w:gridCol w:w="308"/>
        <w:gridCol w:w="578"/>
      </w:tblGrid>
      <w:tr>
        <w:trPr/>
        <w:tc>
          <w:tcPr>
            <w:tcW w:w="10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$25.7 million, or 361.1%, increase in intangible asset amortization expense for the year ended December 31, 2025 as compared to the year ended December 31, 2024, primarily relates to the impacts of (i) the Change-in-Control Transaction consummated on January 2, 2025, which resulted in the measurement (or remeasurement) and recognition of all our identifiable intangible assets to their fair values as of the transaction date (a change in measurement basis) and (ii) the recognition of new intangible assets in connection with the subsequent acquisitions of Aura, Earnest and SteelPro on January 29, 2025, April 28, 2025 and October 6, 2025, respectively. The Change-in Control Transaction and the acquisitions of Aura, Earnest and SteelPro resulted in the recognition of intangible assets with aggregate initial carry values of $272.7 million, $14.5 million, $0.2 million and $13.6 million as of the respective acquisition dates; whereas, the aggregate gross carrying value of our intangibles was $67.3 million throughout the year ended December 31, 2024.</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3 – Acquisitions and Note 9 – Intangible Assets to our audited consolidated financial statements for the year ended December 31, 2025 for additional details regarding the impacts of the Change-in-Control Transaction and the acquisitions of Aura, Earnest and SteelPro on our reported intangible asset balances, as well as the related amortizable lives of the reported intangible assets, for the year ended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tbl>
      <w:tblPr>
        <w:tblW w:w="7942"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57"/>
        <w:gridCol w:w="750"/>
        <w:gridCol w:w="132"/>
        <w:gridCol w:w="109"/>
        <w:gridCol w:w="109"/>
        <w:gridCol w:w="109"/>
        <w:gridCol w:w="109"/>
        <w:gridCol w:w="109"/>
        <w:gridCol w:w="109"/>
        <w:gridCol w:w="305"/>
        <w:gridCol w:w="675"/>
        <w:gridCol w:w="159"/>
        <w:gridCol w:w="109"/>
        <w:gridCol w:w="109"/>
        <w:gridCol w:w="109"/>
        <w:gridCol w:w="225"/>
        <w:gridCol w:w="498"/>
        <w:gridCol w:w="118"/>
        <w:gridCol w:w="109"/>
        <w:gridCol w:w="109"/>
        <w:gridCol w:w="109"/>
        <w:gridCol w:w="308"/>
        <w:gridCol w:w="308"/>
        <w:gridCol w:w="57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party expenses incurred during the years ended December 31, 2025 and December 31, 2024 related to management fees for services provided by our sponsor during each reporting period. The $0.5 million, or 113.3%, increase in related party expense for the year ended December 31, 2025 was driven by the execution of a new management fee agreement with our sponsor in connection with the Change in Control Transaction consummated on January 2,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Non-operating income (expense) </w:t>
      </w:r>
    </w:p>
    <w:tbl>
      <w:tblPr>
        <w:tblW w:w="9178" w:type="dxa"/>
        <w:jc w:val="left"/>
        <w:tblInd w:w="0" w:type="dxa"/>
        <w:tblLayout w:type="fixed"/>
        <w:tblCellMar>
          <w:top w:w="28" w:type="dxa"/>
          <w:left w:w="28" w:type="dxa"/>
          <w:bottom w:w="28" w:type="dxa"/>
          <w:right w:w="28" w:type="dxa"/>
        </w:tblCellMar>
      </w:tblPr>
      <w:tblGrid>
        <w:gridCol w:w="1015"/>
        <w:gridCol w:w="894"/>
        <w:gridCol w:w="895"/>
        <w:gridCol w:w="109"/>
        <w:gridCol w:w="109"/>
        <w:gridCol w:w="109"/>
        <w:gridCol w:w="215"/>
        <w:gridCol w:w="813"/>
        <w:gridCol w:w="111"/>
        <w:gridCol w:w="109"/>
        <w:gridCol w:w="109"/>
        <w:gridCol w:w="109"/>
        <w:gridCol w:w="109"/>
        <w:gridCol w:w="109"/>
        <w:gridCol w:w="109"/>
        <w:gridCol w:w="238"/>
        <w:gridCol w:w="779"/>
        <w:gridCol w:w="123"/>
        <w:gridCol w:w="109"/>
        <w:gridCol w:w="109"/>
        <w:gridCol w:w="109"/>
        <w:gridCol w:w="211"/>
        <w:gridCol w:w="796"/>
        <w:gridCol w:w="109"/>
        <w:gridCol w:w="109"/>
        <w:gridCol w:w="109"/>
        <w:gridCol w:w="109"/>
        <w:gridCol w:w="383"/>
        <w:gridCol w:w="383"/>
        <w:gridCol w:w="578"/>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$0.3 million increase in interest income for the year ended December 31, 2025 reflects interest income earned through sweep accounts during the period; whereas, we did not earn material interest income on its deposited cash during the year ended December 31, 2024.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$12.6 million, or 134.0%, increase in interest expense for the year ended December 31, 2025, as compared to the year ended December 31, 2024, primarily relates to an increase in our outstanding debt balance to $272.6 million as of December 31, 2025, as compared to $83.6 million as of December 31, 2024. Our outstanding debt as of both December 31, 2025 and December 31, 2024 was subject to variable interest rates, and variable interest rates charged on outstanding borrowings were 8.33% and 9.67% as of December 31, 2025 and December 31, 2024, respectively. The decrease in interest rates between December 31, 2025 and December 31, 2024 partially offset the increase in interest expense attributable to the higher outstanding debt balance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provision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year-ended December 31, 2025 and 2024 is 4.1% and 3.3%, respectively, which is significantly below the combined federal and state statutory tax rate because we are a pass-through entity for federal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in accordance with GAAP; however, management believes evaluating Accelevation’s ongoing operating results may be enhanced if investors have additional non-GAAP financial measures. Specifically, management reviews Adjusted EBITDA, Adjusted Net Income, and Free Cash Flow, which are non-GAAP financial measures, to manage our business, make planning decisions, evaluate our performance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allocate resources and, for the reasons described below, considers them to be effective indicators, for both management and investors, of our financial performance over time.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metrics help investors and analysts in comparing our results across reporting periods on a consistent basis. These non-GAAP financial measures have limitations as analytical tools and should not be considered in isolation from, or as a substitute for, the analysis of other GAAP financial measures, including net income and cash flow from operating activities. Other companies in our industry may calculate these metrics differently, limiting their usefulness as a comparative measure. Our presentation of these measures should not be construed as an inference that future results will be unaffected by unusual or non-recurring items.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interest income and expense, provision for income taxes, depreciation and amortization expense, equity-based compensation expense, public company readiness costs, acquisition costs, sponsor fees and expenses, change in fair value of acquisition earnout and asset impairment, as well as certain non-recurring items, including payments to Olympus that are expected to cease upon the occurrence of this offering. This definition and the inclusion of related items are applied consistently for each financial reporting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limitations, Adjusted EBITDA does not reflect our cash expenditures, or future requirements, for capital expenditures or contractual commitments, non-cash charges for depreciation and amortization, and does not reflect the impact of certain cash charges resulting from matters we consider not to be indicative of our ongoing operations such as interest expense. Adjusted EBITDA also does not reflect income tax expense or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EBITDA is an important metric for management and investors as it (i) adjusts for the impact of items that we do not believe are indicative of our core operating results or the overall health of our company and (ii) allows for consistent comparison of our operating results over time. In addition, we use Adjusted EBITDA in evaluating management’s performance when determining incentive compensation and to evaluate the effectiveness of our business strategies.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(loss) to Adjusted EBITDA for the periods indicated:</w:t>
      </w:r>
    </w:p>
    <w:tbl>
      <w:tblPr>
        <w:tblW w:w="10205" w:type="dxa"/>
        <w:jc w:val="left"/>
        <w:tblInd w:w="0" w:type="dxa"/>
        <w:tblLayout w:type="fixed"/>
        <w:tblCellMar>
          <w:top w:w="28" w:type="dxa"/>
          <w:left w:w="28" w:type="dxa"/>
          <w:bottom w:w="28" w:type="dxa"/>
          <w:right w:w="28" w:type="dxa"/>
        </w:tblCellMar>
      </w:tblPr>
      <w:tblGrid>
        <w:gridCol w:w="926"/>
        <w:gridCol w:w="561"/>
        <w:gridCol w:w="563"/>
        <w:gridCol w:w="109"/>
        <w:gridCol w:w="109"/>
        <w:gridCol w:w="109"/>
        <w:gridCol w:w="569"/>
        <w:gridCol w:w="392"/>
        <w:gridCol w:w="321"/>
        <w:gridCol w:w="109"/>
        <w:gridCol w:w="109"/>
        <w:gridCol w:w="109"/>
        <w:gridCol w:w="109"/>
        <w:gridCol w:w="109"/>
        <w:gridCol w:w="109"/>
        <w:gridCol w:w="669"/>
        <w:gridCol w:w="392"/>
        <w:gridCol w:w="321"/>
        <w:gridCol w:w="109"/>
        <w:gridCol w:w="109"/>
        <w:gridCol w:w="109"/>
        <w:gridCol w:w="353"/>
        <w:gridCol w:w="358"/>
        <w:gridCol w:w="318"/>
        <w:gridCol w:w="126"/>
        <w:gridCol w:w="126"/>
        <w:gridCol w:w="126"/>
        <w:gridCol w:w="353"/>
        <w:gridCol w:w="365"/>
        <w:gridCol w:w="315"/>
        <w:gridCol w:w="109"/>
        <w:gridCol w:w="109"/>
        <w:gridCol w:w="109"/>
        <w:gridCol w:w="505"/>
        <w:gridCol w:w="433"/>
        <w:gridCol w:w="478"/>
      </w:tblGrid>
      <w:tr>
        <w:trPr/>
        <w:tc>
          <w:tcPr>
            <w:tcW w:w="92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March 31, 2026 </w:t>
            </w:r>
            <w:r>
              <w:rPr>
                <w:rFonts w:ascii="Times New Roman;serif" w:hAnsi="Times New Roman;serif"/>
                <w:b/>
                <w:color w:val="000000"/>
                <w:sz w:val="12"/>
              </w:rPr>
              <w:t>(1)</w:t>
            </w:r>
          </w:p>
        </w:tc>
      </w:tr>
      <w:tr>
        <w:trPr/>
        <w:tc>
          <w:tcPr>
            <w:tcW w:w="2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51,887</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24,062</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34,036</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Sponsor fees and expenses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Public company readiness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acquisition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123,315</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(1)Information for the twelve months ended March 31, 2026 (or “LTM Ended Mar. 31, 2026”) is calculated by adding the results for the three months ended March 31, 2026 to the results for the year ended December 31, 2025, and subtracting the results for the three months ended March 31,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fees and expense reimbursements paid to our sponsor, which will no longer be paid following the consummation of this offering.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(3)Represents non-recurring professional service fees related to this offering and our IPO readiness.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(4)Other for the year ended December 31, 2025 primarily includes disposals of fixed assets due to a one-time policy change in our capitalization thresholds and abandonment of certain fixed assets. These expenses are non-recurring.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is calculated as net income (loss) plus or minus (i) amortization of intangibles, (ii) equity-based compensation, (iii) sponsor fees and expenses, (iv) public company readiness costs, (v) acquisition-related costs, (vi) changes in the fair value of contingent consideration liabilities, (vii) asset impairments, (viii) other non-recurring items, and (ix) tax impact of adjustments.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limitations, Adjusted Net Income does not reflect all our cash expenditures, future requirements, for capital expenditures or contractual commitments, does not reflect certain recurring noncash charges, and does not reflect the impact of certain cash charges resulting from matters we consider not to be indicative of our ongoing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Net Income because we believe it assists investors and analysts in comparing our performance across reporting periods on a consistent basis by excluding items that we do not believe are indicative of our core operating performance. Adjusted Net Income is used by management to evaluate the effectiveness of our business strategies.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Adjusted Net Income for the periods indicated:</w:t>
      </w:r>
    </w:p>
    <w:tbl>
      <w:tblPr>
        <w:tblW w:w="10205" w:type="dxa"/>
        <w:jc w:val="left"/>
        <w:tblInd w:w="0" w:type="dxa"/>
        <w:tblLayout w:type="fixed"/>
        <w:tblCellMar>
          <w:top w:w="28" w:type="dxa"/>
          <w:left w:w="28" w:type="dxa"/>
          <w:bottom w:w="28" w:type="dxa"/>
          <w:right w:w="28" w:type="dxa"/>
        </w:tblCellMar>
      </w:tblPr>
      <w:tblGrid>
        <w:gridCol w:w="1197"/>
        <w:gridCol w:w="1028"/>
        <w:gridCol w:w="1011"/>
        <w:gridCol w:w="109"/>
        <w:gridCol w:w="109"/>
        <w:gridCol w:w="109"/>
        <w:gridCol w:w="714"/>
        <w:gridCol w:w="392"/>
        <w:gridCol w:w="376"/>
        <w:gridCol w:w="109"/>
        <w:gridCol w:w="109"/>
        <w:gridCol w:w="109"/>
        <w:gridCol w:w="109"/>
        <w:gridCol w:w="109"/>
        <w:gridCol w:w="109"/>
        <w:gridCol w:w="737"/>
        <w:gridCol w:w="392"/>
        <w:gridCol w:w="376"/>
        <w:gridCol w:w="109"/>
        <w:gridCol w:w="109"/>
        <w:gridCol w:w="109"/>
        <w:gridCol w:w="415"/>
        <w:gridCol w:w="348"/>
        <w:gridCol w:w="328"/>
        <w:gridCol w:w="151"/>
        <w:gridCol w:w="151"/>
        <w:gridCol w:w="151"/>
        <w:gridCol w:w="397"/>
        <w:gridCol w:w="325"/>
        <w:gridCol w:w="408"/>
      </w:tblGrid>
      <w:tr>
        <w:trPr/>
        <w:tc>
          <w:tcPr>
            <w:tcW w:w="119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Sponsor fees and expenses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Public company readiness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acquisition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fees and expense reimbursements paid to our sponsor, which will no longer be paid following the consummation of this offering.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non-recurring professional service fees related to this offering and our IPO readiness. </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(3)Other for the year ended December 31, 2025 primarily includes disposals of fixed assets due to a one-time policy change in our capitalization thresholds and abandonment of certain fixed assets. These expenses are non-recurring.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provided by operating activities adjusted for purchase of property and equipment. Management uses Free Cash Flow to provide insight into our liquidity, our cash-generating capability, as well as demonstrate our ability to fund future growth. Free Cash Flow should be considered in addition to, rather than as a substitute for, net cash provided by operating activities as a measure of our liquidity. Additionally, our definition of Free Cash Flow is limited, in that it does not represent residual cash flows available for discretionary expenditures, due to the fact that the measure does not deduct the payments required for debt service and other contractual obligations or payments made for business acquisitions. Therefore, management believes it is important to view Free Cash Flow as a measure that provides supplemental information to our consolidated statements of cash flows.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(used in) provided by operating activities to Free Cash Flow for the periods indicated:</w:t>
      </w:r>
    </w:p>
    <w:tbl>
      <w:tblPr>
        <w:tblW w:w="10205" w:type="dxa"/>
        <w:jc w:val="left"/>
        <w:tblInd w:w="0" w:type="dxa"/>
        <w:tblLayout w:type="fixed"/>
        <w:tblCellMar>
          <w:top w:w="28" w:type="dxa"/>
          <w:left w:w="28" w:type="dxa"/>
          <w:bottom w:w="28" w:type="dxa"/>
          <w:right w:w="28" w:type="dxa"/>
        </w:tblCellMar>
      </w:tblPr>
      <w:tblGrid>
        <w:gridCol w:w="1345"/>
        <w:gridCol w:w="1158"/>
        <w:gridCol w:w="1161"/>
        <w:gridCol w:w="109"/>
        <w:gridCol w:w="109"/>
        <w:gridCol w:w="109"/>
        <w:gridCol w:w="278"/>
        <w:gridCol w:w="1039"/>
        <w:gridCol w:w="143"/>
        <w:gridCol w:w="109"/>
        <w:gridCol w:w="109"/>
        <w:gridCol w:w="109"/>
        <w:gridCol w:w="109"/>
        <w:gridCol w:w="109"/>
        <w:gridCol w:w="109"/>
        <w:gridCol w:w="299"/>
        <w:gridCol w:w="1010"/>
        <w:gridCol w:w="152"/>
        <w:gridCol w:w="109"/>
        <w:gridCol w:w="109"/>
        <w:gridCol w:w="109"/>
        <w:gridCol w:w="211"/>
        <w:gridCol w:w="616"/>
        <w:gridCol w:w="109"/>
        <w:gridCol w:w="109"/>
        <w:gridCol w:w="109"/>
        <w:gridCol w:w="109"/>
        <w:gridCol w:w="211"/>
        <w:gridCol w:w="680"/>
        <w:gridCol w:w="158"/>
      </w:tblGrid>
      <w:tr>
        <w:trPr/>
        <w:tc>
          <w:tcPr>
            <w:tcW w:w="134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14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5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15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liquidity in terms of our ability to fund the cash requirements of our business operations, including working capital needs, capital expenditures, contractual obligations, debt service, acquisitions and other commitments.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of cash are amounts generated through our operations, as well as our borrowing capacity under our Credit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Uses of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cash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to execute against our customer contracts, including to fund inventory purchases, labor costs and facility costs;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cash required for the expansion of capacity and capital expenditures aligned to our growth, including for new lease commitments;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to fund our internal sales, engineering and administrative functions;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for and to maintain our debt facilities, including to service interest expense and principal payment obligations, as well as to maintain borrowing capacity under our Revolving Credit Facility.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consummation of this offering, Accelevation Holdings Corp. will be a holding company and will have no material assets other than its ownership of equity interests in Holdings LLC and Instor. Accelevation Holdings Corp. will have no independent means of generating revenue or cash flow. Under the terms of the LLC Operating Agreement and the Tax Receivable Agreement that will be in effect at the time of the consummation of this offering, Holdings LLC will be obligated to make tax distributions to the LLC Unitholders, including us. To the extent that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Holdings LLC has available cash, we intend to cause Holdings LLC to make cash distributions to the LLC Unitholders, including us, in amounts sufficient to (i) fund all or part of their tax obligations in respect of taxable income allocated to them and (ii) cover our operating expenses, including payments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any payments under the Tax Receivable Agreement will vary depending upon a number of factors, including the timing of exchanges by the LLC Unitholders, the amount of gain recognized by the LLC Unitholders, the amount and timing of the taxable income we generate in the future and the federal tax rates then applicable. However, we expect that the payments Accelevation Holdings Corp. will be required to make under the Tax Receivable Agreement will be substantial and could materially affect our liquidity. Assuming (i) there are no material changes in relevant tax law, (ii) that we earn sufficient taxable income in each year to realize on a current basis all tax benefits that are subject to the Tax Receivable Agreement, and (iii) that all exchanges or redemptions would occur immediately after the initial public offering,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There can be no assurance that Holdings LLC and its subsidiaries will generate sufficient cash flow to distribute funds to us or that applicable state law and contractual restrictions, including negative covenants in debt instruments of Holdings LLC and its subsidiaries, will permit such 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payments made by us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 If Accelevation Holdings Corp. does not have sufficient funds to pay taxes, payments under the Tax Receivable Agreement or other liabilities or to fund its operations, it may have to borrow funds, which could materially adversely affect its liquidity and financial condition and subject it to various restrictions imposed by any such lenders.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total outstanding borrowings (principal amount) totaled $326.3 million. On June 25, 2026, we entered into the Fourth Amendment (as defined in “Description of Certain Indebtedness”). The Fourth Amendment provided incremental term loans of an aggregate principal amount of $346.0 million and an additional $10.0 million in delayed draw term loan commitments. The proceeds from this amendment were primarily used to fund a distribution to certain members.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Operational Factors that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our operations, our liquidity is significantly impacted by (i) the timing of the collection of cash on our contracts for which we recognized revenue over-time, including the timing of milestone payments and whether we are able to collect upfront cash deposits and (ii) the timing upon which we are required to expend cash, including for labor and materials, when delivering upon contracts for which we recognized revenue over-time. We support our liquidity position through the maintenance of the Revolving Credit Facility and additional capacity within delayed draw term loans available under our Credit Agreement. As of March 31, 2026, we had $50.0 million of available borrowing capacity under the Revolving Credit Facility and approximately $27.0 million available under the delayed draw term loan commitments. The availability of borrowings under the delayed draw term loans will expire on January 2, 2027.</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maintained as of March 31, 2026, the cash generated from our operations, and the availability under the Revolving Credit Facility and Delayed Draw Term Loan Facility are sufficient to fund our near-term and long-term liquidity needs.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three months ended March 31, 2026 and March 31, 2025, and the changes between those periods: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tbl>
      <w:tblPr>
        <w:tblW w:w="8709" w:type="dxa"/>
        <w:jc w:val="left"/>
        <w:tblInd w:w="0" w:type="dxa"/>
        <w:tblLayout w:type="fixed"/>
        <w:tblCellMar>
          <w:top w:w="28" w:type="dxa"/>
          <w:left w:w="28" w:type="dxa"/>
          <w:bottom w:w="28" w:type="dxa"/>
          <w:right w:w="28" w:type="dxa"/>
        </w:tblCellMar>
      </w:tblPr>
      <w:tblGrid>
        <w:gridCol w:w="1526"/>
        <w:gridCol w:w="1342"/>
        <w:gridCol w:w="1346"/>
        <w:gridCol w:w="109"/>
        <w:gridCol w:w="109"/>
        <w:gridCol w:w="109"/>
        <w:gridCol w:w="216"/>
        <w:gridCol w:w="740"/>
        <w:gridCol w:w="111"/>
        <w:gridCol w:w="111"/>
        <w:gridCol w:w="111"/>
        <w:gridCol w:w="111"/>
        <w:gridCol w:w="216"/>
        <w:gridCol w:w="848"/>
        <w:gridCol w:w="111"/>
        <w:gridCol w:w="109"/>
        <w:gridCol w:w="109"/>
        <w:gridCol w:w="109"/>
        <w:gridCol w:w="211"/>
        <w:gridCol w:w="901"/>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operating activities provided $8.9 million of cash, as compared to the use of $8.0 million for operating activities for the three months ended March 31, 2025. The $16.9 million improvement from an $8.0 million use of cash in operations for the three months ended March 31, 2025, to $8.9 million of cash provided by operations for the three months ended March 31, 2026, was primarily driven by the $30.1 million improvement in our reported net income for the three months ended March 31, 2026. The improvement in operating performance increases further upon the exclusion of the non-cash operating expenses and charges presented on our condensed consolidated statements of cash flows for the three months ended March 31, 2026 and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Partially offsetting the impact of the improvement in our net income for the three months ended March 31, 2026, as compared to the three months ended March 31, 2025, is a significant increase in our working capital (excluding cash) as of March 31, 2026. While we reported a significant increase in revenue for the three months ended March 31, 2026, contributing to the increase in net income reported for the period, we also reported significant increases in its accounts receivable and contract asset balances, which reflect portions of recognized revenue for which cash has not been collected. Increases in our accounts receivable and contract asset balances are reflective of a combination of our growth and milestone and longer billing and collection cycles associated with our larger customized integrated solution projects that have been driving a significant portion of our growth. Partially offsetting the significant increases in our accounts receivable and contract asset balances during the three months ended March 31, 2026 are favorable changes in working capital, inclusive of the collection of a $15.8 million upfront payment related to one of our large customized integration solutions projects.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three months ended March 31, 2026 was $2.8 million, as compared to $397.0 million for the three months ended March 31, 2025. The decrease in the use of cash for investing activities for the three months ended March 31, 2026 primarily reflects the impact of not consummating any acquisitions during this period. During the three months ended March 31, 2025, we used $396.0 million, which amount is net of cash acquired or retained by us, to pay for the acquisitions of Accelevation Holding Company, LLC (the Change in Control Transaction) and Aura.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used for acquisitions (as described above) was partially offset by a $2.0 million increase in capital expenditures for the three months ended March 31, 2026, as compared to March 31, 2025. This increase in cash used for capital expenditures corresponds with our growth and related expansion of capacity.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three months ended March 31, 2026 was $43.7 million, as compared to net cash provided by financing activities of $415.2 million for the three months ended March 31, 2025. The cash provided by financing activities for the three-months ended March 31, 2025 primarily reflects proceeds received to fund the Change in Control Transaction that occurred on January 2, 2025. In connection with the Change in Control Transaction, we received net proceeds of $194.8 million from the issuance of long-term debt and $215.0 million from equity issuances. This total cash inflow of $409.8 million was used to fund the acquisition of Accelevation Holding Company, LLC and certain related acquisition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cash inflows of $43.7 million for the three months ended March 31, 2026 was primarily driven by $48.8 million of net proceeds received from the issuance and repayment of debt used to finance our operations and growth plans, offset by (i) $4.4 million in tax distributions paid to our members on a periodic basis and (ii) member redemptions of $0.3 million.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9846" w:type="dxa"/>
        <w:jc w:val="left"/>
        <w:tblInd w:w="0" w:type="dxa"/>
        <w:tblLayout w:type="fixed"/>
        <w:tblCellMar>
          <w:top w:w="28" w:type="dxa"/>
          <w:left w:w="28" w:type="dxa"/>
          <w:bottom w:w="28" w:type="dxa"/>
          <w:right w:w="28" w:type="dxa"/>
        </w:tblCellMar>
      </w:tblPr>
      <w:tblGrid>
        <w:gridCol w:w="1526"/>
        <w:gridCol w:w="1342"/>
        <w:gridCol w:w="1346"/>
        <w:gridCol w:w="109"/>
        <w:gridCol w:w="109"/>
        <w:gridCol w:w="109"/>
        <w:gridCol w:w="759"/>
        <w:gridCol w:w="392"/>
        <w:gridCol w:w="394"/>
        <w:gridCol w:w="109"/>
        <w:gridCol w:w="109"/>
        <w:gridCol w:w="109"/>
        <w:gridCol w:w="109"/>
        <w:gridCol w:w="109"/>
        <w:gridCol w:w="109"/>
        <w:gridCol w:w="759"/>
        <w:gridCol w:w="392"/>
        <w:gridCol w:w="394"/>
        <w:gridCol w:w="109"/>
        <w:gridCol w:w="109"/>
        <w:gridCol w:w="109"/>
        <w:gridCol w:w="394"/>
        <w:gridCol w:w="346"/>
        <w:gridCol w:w="49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(438,254)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468,757</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used $7.2 million of cash for operating activities, as compared to operating activities providing $10.7 million of cash for the year ended December 31, 2024. Changes in our working capital position resulted in this shift from cash provided by operating activities for the year ended December 31, 2024 to cash used in operating activities for the year ended December 31, 2025, despite the $12.3 million increase in net income for the year ended December 31, 2025. While we reported a significant increase in revenue for the year ended December 31, 2025, contributing to the increase in net income reported for the period, we also reported (i) significant increases in its accounts receivable and contract asset balances, which reflect portions of recognized revenue for which cash has not been collected, (ii) a significant increase in inventory purchased during the period, and (iii) a significant decrease in contract liabilities, reflecting an unfavorable change in advance collections from customers. Increases in our accounts receivable and contract asset balances are reflective of a combination of our growth and milestone and longer billing and collection cycles associated with our larger customized integrated solution projects that have been driving a significant portion of our growth. Partially offsetting the increases in accounts receivable, contract assets, and inventory was a significant increase in working capital payable and accrual balances, reflecting purchases of inventory and recognized expenses for which cash has not yet been expended.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2025 totaled $442.5 million, as compared to $4.3 million for the year ended December 31, 2024. The increase in the use of cash for investing activities for the year ended December 31, 2025 was primarily driven by acquisition activity, including the Change in Control Transaction, as we did not acquire any businesses during the year ended December 31, 2024. During the year ended December 31, 2025, we used $433.4 million, net of cash acquired, for the acquisitions of Accelevation Holding Company, LLC, Aura, SteelPro and Earnest. For the year ended December 31, 2025, expenditures for property and equipment also increased by $4.6 million due to expansion of and improvements in our manufacturing capacity.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three months ended December 31, 2025 was $466.0 million, as compared to net cash used in financing activities of $2.7 million for the year ended December 31, 2024. The cash provided during the year-ended December 31, 2025 was primarily driven by the proceeds received in connection with the Change in Control Transaction that occurred on January 2, 2025. In connection with the Change in Control Transaction we received net proceeds from the issuance of $194.8 million long-term debt and $215 million associated with our acquisition capitalization. The total $409.8 million was used to fund the acquisition of Accelevation Holding Company, LLC. Additional net cash proceeds on our Credit Agreement of $129.1 million were primarily drawn to finance our acquisition strategy during the year-ended December 31, 2025. The cash used in financing activities during the year-ended December 31, 2024 was primarily driven by $6.5 million of member redemptions and $3.4 million of tax distributions paid to our members on a periodic basis. Tax distributions paid to our members increased by $12.1 million year over year primarily as a result of our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and 2024, we had no material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consolidated financial statements</w:t>
      </w:r>
      <w:r>
        <w:rPr>
          <w:color w:val="000000"/>
          <w:shd w:fill="FFFFFF" w:val="clear"/>
        </w:rPr>
        <w:t xml:space="preserve"> </w:t>
      </w:r>
      <w:r>
        <w:rPr>
          <w:rFonts w:ascii="Times New Roman;serif" w:hAnsi="Times New Roman;serif"/>
          <w:b w:val="false"/>
          <w:color w:val="000000"/>
          <w:sz w:val="20"/>
          <w:shd w:fill="FFFFFF" w:val="clear"/>
        </w:rPr>
        <w:t>have been prepared in accordance with U.S. GAAP. Preparation of the financial statements requires our management to make judgments, estimates, and assumptions that impact the reported amount of revenue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We had a change in control on January 2, 2025 (“Inception”) resulting in a new basis of accounting, and we completed three additional acquisitions for an aggregate purchase price </w:t>
      </w:r>
      <w:r>
        <w:rPr>
          <w:rFonts w:ascii="Times New Roman;serif" w:hAnsi="Times New Roman;serif"/>
          <w:b w:val="false"/>
          <w:color w:val="000000"/>
          <w:sz w:val="20"/>
        </w:rPr>
        <w:t>of $548.8 million</w:t>
      </w:r>
      <w:r>
        <w:rPr>
          <w:color w:val="000000"/>
          <w:shd w:fill="FFFFFF" w:val="clear"/>
        </w:rPr>
        <w:t xml:space="preserve"> </w:t>
      </w:r>
      <w:r>
        <w:rPr>
          <w:rFonts w:ascii="Times New Roman;serif" w:hAnsi="Times New Roman;serif"/>
          <w:b w:val="false"/>
          <w:color w:val="000000"/>
          <w:sz w:val="20"/>
          <w:shd w:fill="FFFFFF" w:val="clear"/>
        </w:rPr>
        <w:t xml:space="preserve">from Inception to December 31, 2025. In accordance with ASC 805 Business Combinations, total consideration was first allocated to the fair value of assets acquired and liabilities assumed, with the excess being recorded as goodwill. Intangible assets have been determined to be separately identifiable and recognized apart from goodwill whenever an acquired intangible asset arises from contractual or other legal rights, or whenever it is capable of being separated or divided from the acquired entity.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our best estimates and assumptions to assign fair values to the tangible and intangible assets acquired and liabilities assumed at the acquisition date. Determining these fair values and estimated lives required us to make significant estimates and assumptions, particularly with respect to acquired intangible assets. The fair value of the identifiable intangible assets has been estimated using the multi-period excess earnings method (customer relationships and order backlog) and relief from royalty method (trade name and technology). Significant inputs used in valuing intangible assets we have acquired include but are not limited to: (i) estimated revenue and expenses based on actuals and forecasts, (ii) royalty rates, (iii) discount rates and (iv) customer attrition rates. The determination of fair value and estimated lives required considerable judgment and were sensitive to changes in underlying assumptions, estimates and market factors.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part of the acquisition of Aura in 2025, we agreed to pay contingent consideration to the sellers for a percentage of non-GAAP revenue generated from the sale of specified products (“In-Scope Products”) during the five-year period after the acquisition (“Earnout Period”). We are required to remeasure this contingent consideration at fair value as of each reporting period and record changes in the fair value in earnings through the date that the contingent consideration is fully settled. The estimation of the fair value the contingent consideration requires the application of significant judgment and estimates regarding the future non-GAAP revenues expected to be generated from In-Scope Products, for which there is no certainty.</w:t>
      </w:r>
      <w:r>
        <w:rPr>
          <w:color w:val="000000"/>
        </w:rPr>
        <w:t xml:space="preserve"> </w:t>
      </w:r>
      <w:r>
        <w:rPr>
          <w:rFonts w:ascii="Times New Roman;serif" w:hAnsi="Times New Roman;serif"/>
          <w:b w:val="false"/>
          <w:color w:val="000000"/>
          <w:sz w:val="20"/>
          <w:shd w:fill="FFFFFF" w:val="clear"/>
        </w:rPr>
        <w:t>There is no defined limit regarding the amount of Contingent Consideration that could potentially become payable to the sellers of Aura on an annual basis or over the Earnout Period. The fair value of the Contingent consideration has been determined based upon non-GAAP revenue projections and projections of our related payment obligations to Aura’s sellers, discounted to reflect the present value of the projected payment obligations. We recognized $2.1 million of SG&amp;A expense in our statement of operations for the year ended December 31, 2025 related to the remeasurement of this contingent consideration. Future revisions to our estimates of non-GAAP revenue expected to be generated from In-Scope Products could result in material changes to our estimates of our contingent consideration liability, triggering adjustments required to be recognized in our statements of operations in future periods.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upon satisfying the performance obligations identified in a contract, which is achieved as services are rendered, upon completion of a service, or through the transfer of control of the promised good or service to the customer at either a point in time or over time. Once we identify a contract’s performance obligations, we determine the transaction price, which includes estimating the amount of variable consideration to be included in the transaction price, if any. Our contracts generally do not contain penalties, credits, price concessions, or other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types of potential variable consideration. Prices are fixed at contract inception and are not contingent on performance or any other criteria.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revenue is recognized over time, as the work performed under our customized integrated solution contracts typically involves a continuous transfer of control to the customer, as generally supported by clauses in our contracts that allow our customers to terminate a contract for convenience. For these customer contracts, revenue is recognized over time as they involve the delivery of products with no alternative use and for which there is an enforceable right to recover costs incurred plus a reasonable profit margin for work completed to date.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for which revenue is recognized over time, we apply the cost-to-cost method to (1) estimate progress towards contract completion and (2) measure the amount of revenue to be recognized. For these contracts to which we apply the cost-to-cost method, the costs incurred to date, measured as a percentage of total estimated costs to complete a performance obligation or the contract (“Estimated Costs at Completion”), has been deemed the best measure of progress toward satisfying a performance obligation or a contract in its entirety.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estimates of the total costs to complete a performance obligation under a contract and/or the contract in its entirety are subject to significant assumptions, judgments, and uncertainties, as well as certain factors that may be outside of our control. As these estimates are subject to change over the life of a contract, we review our cost estimates on a periodic basis, as well as when circumstances change and warrant a modification to a previous estimate. Cost estimates are largely based on negotiated or estimated purchase contract terms, historical performance trends, and other economic projections. Examples of uncertainties, judgments, and certain other factors outside of our control that subject our Estimated Costs at Completion to change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length of our contracts, which may subject Estimated Costs at Completion to changes in commodity prices and/or labor costs;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project delays, which may result in unanticipated costs;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our underlying indirect cost structure as we scale to match our growth;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complexity and highly customized nature, size, components, designs and configurations of our integrated infrastructure solutions, which may impact our ability to forecast total contract costs at contract inception.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our customized integrated infrastructure projects for which revenue is recognized over time are generally fixed price contracts, changes in the estimated total costs at completion of a contract or in estimated total transaction price will impact the amount of contract revenue recognized in a reporting period, the timing of revenue recognition over the course of a contract, as well as contract gross margins. As these impacts are recognized on a cumulative basis for the contract life-to-date, significant changes in Estimated Costs at Completion can result in the reversal of previously recognized revenue, the acceleration of revenue recognition, or the determination that a loss provision is required to be recognized related to a contract. Accordingly, changes in Estimated Costs at Completion could materially impact our revenue or gross margin reported in future periods.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and the three months ended March 31, 2026, we recognized contract loss provisions totaling $3.1 million and $8.7 million, respectively, representing the amounts by which Estimated Costs at Completion for certain contracts are expected to exceed the transaction price. Any incremental increases to the estimated costs to complete the contracts for which we have already recognized a loss would further increase the losses realized on these contracts. A 10% increase in the forecasted remaining costs at March 31, 2026 for contracts on which we have already recorded a loss provision could result in the realization of incremental losses of up to $3.1 million on these contracts.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active contracts with current forecasted gross margins below 20% are most susceptible to becoming a loss contract in a future period if they were to experience material changes to their respective Estimated Costs at Completion. As of March 31, 2026, we had two contracts for which revenue is recognized over time that met this criterion. If each of these contracts experienced a 25% increase in forecasted remaining costs to complete,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without a corresponding change in contract value, we could be required to recognize an immaterial incremental loss provision totaling approximately $0.1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for certain contracts, changes in Estimated Costs at Completion may impact our financial results without triggering the recognition of a contract loss provision. For the three months ended March 31, 2026, changes in estimates of progress toward completion on performance obligations recognized over time due to aggregate unfavorable adjustments to Estimated Costs at Completion across programs resulted in an unfavorable cumulative catch-up adjustment to revenue of $5.0 million. No cumulative catch-up adjustments were recorded during the three months ended March 31, 2025. For the year ended December 31, 2025, changes in the estimated progress towards completion due to aggregate unfavorable adjustments to Estimated Costs at Completion across programs resulted in a less than $0.1 million decrease in the revenue included within our results of operations for the period. For the year ended December 31, 2024, changes in the estimated progress towards completion due to aggregate favorable adjustments to Estimated Costs at Completion across programs resulted in immaterial changes to the revenue included within our results of operations for the period. As of March 31, 2026, we have significant contracts for which a substantial portion of their Estimated Costs at Completion have not yet been incurred and, accordingly, for which a substantial portion of the associated revenue has not been recognized. Due to the size of these contracts, as well as our remaining performance obligations to complete these contracts, it is reasonably possible that the Estimated Costs at Completion could change over the course of these contracts, and such changes could have a material impact on our future results of operations.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and apply the quantitative impairment test. If determined to be necessary, the quantitative impairment test shall be used to identify goodwill impairment and measure the amount of a goodwill impairment loss to be recognized (if any). For the quantitative impairment test, we estimate fair value using an income approach, market approach or combination thereof.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 Based upon the annual qualitative goodwill impairment testing performed during the fourth quarter of 2025 and 2024, we determined that there was no impairment of our goodwill during the years ended 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Acquired intangible assets include customer relationships, technology and trade names. Finite-lived intangible assets are amortized over their estimated useful lives using the straight-line method, which approximates the pattern in which the economic benefits of such assets are consumed. We assess amortized intangible assets for impairment when events or circumstances suggest that the carrying values may not be recoverable. This assessment involves comparing the carrying value of the assets or asset groups to their undiscounted expected future cash flows. If the total undiscounted future cash flows are less than the carrying amount, we recognize an impairment loss equal to the difference between the carrying amount and the fair value of the assets or asset groups. Determining fair value requires management to make estimates and judgments based on various factors, including projected revenues and associated earnings. We did not recognize any intangible assets impairment losses in the year ended December 31, 2025 or 2024.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Share Based Compensation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employees hold profit interests in Accelevation Topco LLC (“Topco”), a parent entity to Accelevation LLC. These profit interests represent a right to share in the future appreciation of the equity value of Topco. We recognize equity-based compensation expense related to these profit interests in Topco based on the grant date fair value of the profit interests. The determination of the fair value of profit interest awards issued to our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employees is based upon the estimated enterprise value of Topco and the use of an option pricing model to allocate that enterprise value (after allocation of a portion to outstanding debt) among Topco’s underlying classes of equity.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With the assistance of a third-party valuation provider, management has determined the enterprise value of Topco and applied the option pricing model to determine the fair value of granted profit interests on a quarterly basis since the change of control of the Company on January 2, 2025. The grant date fair value of profit interests recognized in our financial statements is based upon the most recently completed quarterly valuation of Topco’s profit interests.</w:t>
      </w:r>
      <w:r>
        <w:rPr>
          <w:color w:val="000000"/>
          <w:shd w:fill="FFFFFF" w:val="clear"/>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Given the absence of a public trading market for Topco’s common units, and in accordance with the American Institute of Certified Public Accountants Practice Aid, </w:t>
      </w:r>
      <w:r>
        <w:rPr>
          <w:rFonts w:ascii="Times New Roman;serif" w:hAnsi="Times New Roman;serif"/>
          <w:b w:val="false"/>
          <w:color w:val="000000"/>
          <w:sz w:val="20"/>
        </w:rPr>
        <w:t>Valuation of Privately Held Company Equity Securities Issued as Compensation</w:t>
      </w:r>
      <w:r>
        <w:rPr>
          <w:rFonts w:ascii="Times New Roman;serif" w:hAnsi="Times New Roman;serif"/>
          <w:b w:val="false"/>
          <w:color w:val="000000"/>
          <w:sz w:val="20"/>
          <w:shd w:fill="FFFFFF" w:val="clear"/>
        </w:rPr>
        <w:t>, we exercised reasonable judgment and considered numerous objective and subjective factors to determine the best estimate of the enterprise value of Topco. These factors included: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actual operating and financial results of Topco, consisting primarily of our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likelihood of various potential liquidity events, including an initial public offering and prevailing market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lack of marketability of Topco’s equity;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 xml:space="preserve">average historical stock price volatility of comparable publicly traded companies in Topco's industry peer group;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U.S and global economic and capital market conditions and outlook.</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Since Topco is privately held, in order to estimate the value of the enterprise and determine the fair value of the underlying equity, we have historically used either the market approach, the income approach, or a combination thereof. During the year ended December 31, 2025, the enterprise value of Topco was based entirely on the market approach. For the market approach, we utilized the Guideline Company Method by selecting certain companies that we considered to be the most comparable to Topco in terms of size, growth, profitability, risk and return on investment, amongst other factors. We then used these guideline companies to develop relevant Adjusted EBITDA multiples, which were then adjusted to account for differences in growth prospects and risk profiles. The market multiples and ratios were applied to Topco</w:t>
      </w:r>
      <w:r>
        <w:rPr>
          <w:color w:val="000000"/>
        </w:rPr>
        <w:t>’</w:t>
      </w:r>
      <w:r>
        <w:rPr>
          <w:rFonts w:ascii="Times New Roman;serif" w:hAnsi="Times New Roman;serif"/>
          <w:b w:val="false"/>
          <w:color w:val="000000"/>
          <w:sz w:val="20"/>
          <w:shd w:fill="FFFFFF" w:val="clear"/>
        </w:rPr>
        <w:t>s trailing twelve month Adjusted EBITDA based on assumptions at the time of the valuation in order to estimate our total enterprise value. The estimated enterprise value at each grant date was then allocated to each class of equity comprising Topco’s capital structure, with a discount for lack of marketability, ranging from 15% to 30% applied to the estimate fair value of the profits interest due to the lack of an active market for Topco’s equity.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the Option Pricing Method requires us to estimate the strike price of the award based on whether certain market conditions and internal rates of return are expected to be met. We utilize the estimated time to a liquidity event to estimate the expected term of the awards. Expected volatility is based on the average of historical and implied volatilities of a set of comparable companies over the expected term of the award, adjusted for size and leverage. The risk-free rates are based on the yields of U.S. Treasury instruments over a comparable term of the award. The following table details the assumptions utilized for the awards granted during the year ended December 31, 2025:</w:t>
      </w:r>
    </w:p>
    <w:tbl>
      <w:tblPr>
        <w:tblW w:w="2744" w:type="dxa"/>
        <w:jc w:val="left"/>
        <w:tblInd w:w="0" w:type="dxa"/>
        <w:tblLayout w:type="fixed"/>
        <w:tblCellMar>
          <w:top w:w="28" w:type="dxa"/>
          <w:left w:w="28" w:type="dxa"/>
          <w:bottom w:w="28" w:type="dxa"/>
          <w:right w:w="28" w:type="dxa"/>
        </w:tblCellMar>
      </w:tblPr>
      <w:tblGrid>
        <w:gridCol w:w="489"/>
        <w:gridCol w:w="430"/>
        <w:gridCol w:w="431"/>
        <w:gridCol w:w="408"/>
        <w:gridCol w:w="408"/>
        <w:gridCol w:w="578"/>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 – 2.9 Years</w:t>
            </w:r>
          </w:p>
        </w:tc>
      </w:tr>
      <w:tr>
        <w:trPr/>
        <w:tc>
          <w:tcPr>
            <w:tcW w:w="13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37.5% – 45%</w:t>
            </w:r>
          </w:p>
        </w:tc>
      </w:tr>
      <w:tr>
        <w:trPr/>
        <w:tc>
          <w:tcPr>
            <w:tcW w:w="13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3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3.47% – 4.27%</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enterprise valuation performed as of December 31, 2025, which is the basis for determining the fair value of profit interests granted between December 31, 2025 and March 31, 2026, began to incorporate an assumption for the occurrence of a potential future IPO. Prior to this valuation, an assumption of an IPO was not reflected in the determination of enterprise value as discussions had not commenced and the business had recently been acquired as of January 2, 2025. The incorporation of the assumption of a potential future IPO resulted in a 25%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increase in the estimated enterprise value of Topco due to the application of higher EBITDA multiples that would be applicable to a potential IPO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factors change and/or we utilize different assumptions, share-based compensation cost on future award grants may differ significantly from share-based compensation cost recognized on past award grants. For example, the probability of an IPO transaction has further increased as we have taken actions to progress towards such transaction. Similarly, higher volatility or longer expected terms would result in an increase to share-based compensation determined at the date of grant.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issued and adopted accounting standards are described in Note 2, “Summary of Significant Accounting Policies,” to our consolidated financial statements for the year ended December 31, 2025, which are included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which means that when a standard is issued or revised and has different application dates for public and private companies, we, as an emerging growth company, may adopt the new or revised standard at the time private companies are required to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or operating results due to adverse changes in financial market prices and rates. Our market risk exposure is primarily a result of price fluctuations in raw materials such as electrical steel, carbon steel, aluminum, copper and specialized insulation materials, as well as key components such as circuit breakers. We do not hold or issue derivative financial instruments for trading purposes.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 from fluctuating market prices of certain raw materials such as steel, aluminum, copper, electrical components, polycarbonate, and fuel. Prices of these raw materials and components may be affected by supply constraints or other market factors from time to time, and we do not enter into hedging arrangements to mitigate commodity risk. Significant price changes for these raw materials and components could reduce our operating margins if we are unable to recover such increases from our customers and could harm our business,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current and long-term debt totaled $321.6 million. We have interest rate exposure with respect to the entire balance as it is all variable interest rate debt. We manage, or hedge, interest rate risks related to certain of our borrowings by means of interest rate swap agreements. As discussed in Note 8 – Fair Value Measurement to our unaudited condensed consolidated financial statements for the three months ended March 31, 2026 included elsewhere in this prospectus, in September 2025, we entered into an interest rate swap to hedge our exposure to variability in cash flows from interest payments on the first $200.0 million of borrowings under our Credit Agreement. At March 31, 2026, we had $121.6 million in unhedged variable rate indebtedness with an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average interest rate of 8.17%. A 100 basis point change in interest rates would have resulted in a change of approximately $2.4 million in our interest expense during the year ended December 31, 2025 and $0.8 million in our interest expense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is a vertically integrated infrastructure platform that designs, manufactures and installs power distribution and white space infrastructure products for mission-critical environments. We help hyperscale, colocation, AI, cloud and other large-scale data center customers accelerate deployment through integrated, factory-built solutions designed for speed, scalability and deployment certainty. Our execution against these customer needs drove 147% year-over-year revenue growth from 2024 to 2025 and contributed to a backlog of approximately $650.4 million as of March 31,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large and rapidly expanding market, with BCE estimating our actionable data center TAM to be $22.0 billion in 2025, with growth projected at an estimated 30% CAGR to approximately $80 billion by 2030. This growth is driven by cloud computing, AI, enterprise digitization and broader digital workloads, all of which require greater data center capacity, more advanced infrastructure and continued investment across power distribution, modular infrastructure, thermal management, design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customers race to bring new compute capacity online, traditional manufacturing models, fragmented supply chains and multi-vendor delivery approaches are often not built to support the unprecedented speed, customization and coordination required for next-generation data center deployments. We believe these fragmented models impose a “complexity tax” on customers, including additional coordination burden, vendor handoffs, schedule friction, field rework, change-order risk and reduced accountability across connected scopes of work. These challenges are becoming more acute as white space infrastructure becomes more complex and demanding, with AI-driven and high-density deployments requiring greater power density, more advanced cooling architectures, liquid-cooling readiness and tighter coordination across power, cooling and structural systems. At the same time, chip architectures, power requirements, cooling methods and customer-specific standards continue to evolve, exposing the limitations of catalog-based approaches and disconnected suppliers.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Driven by an entrepreneurial culture of relentless execution and continuous innovation, we believe Accelevation is optimally positioned to address these challenges through our vertically integrated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operating model. By replacing a fragmented set of suppliers with a unified operating partner across engineering, manufacturing, electrical scope, installation and project coordination, we believe we reduce deployment complexity, improve schedule control, accelerate installation timelines and enable faster adaptation to evolving customer requirements and changing job-site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combination of culture, vertical integration, customer responsiveness and execution discipline enables us to help hyperscale, colocation, AI, cloud and enterprise data center customers deploy mission-critical infrastructure with greater speed, flexibility and certainty.</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primary offerings:</w:t>
      </w:r>
    </w:p>
    <w:tbl>
      <w:tblPr>
        <w:tblW w:w="10205" w:type="dxa"/>
        <w:jc w:val="left"/>
        <w:tblInd w:w="0" w:type="dxa"/>
        <w:tblLayout w:type="fixed"/>
        <w:tblCellMar>
          <w:top w:w="28" w:type="dxa"/>
          <w:left w:w="28" w:type="dxa"/>
          <w:bottom w:w="28" w:type="dxa"/>
          <w:right w:w="28" w:type="dxa"/>
        </w:tblCellMar>
      </w:tblPr>
      <w:tblGrid>
        <w:gridCol w:w="583"/>
        <w:gridCol w:w="510"/>
        <w:gridCol w:w="514"/>
        <w:gridCol w:w="109"/>
        <w:gridCol w:w="109"/>
        <w:gridCol w:w="109"/>
        <w:gridCol w:w="1768"/>
        <w:gridCol w:w="1389"/>
        <w:gridCol w:w="1406"/>
        <w:gridCol w:w="109"/>
        <w:gridCol w:w="109"/>
        <w:gridCol w:w="109"/>
        <w:gridCol w:w="1079"/>
        <w:gridCol w:w="949"/>
        <w:gridCol w:w="1353"/>
      </w:tblGrid>
      <w:tr>
        <w:trPr/>
        <w:tc>
          <w:tcPr>
            <w:tcW w:w="5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Key Applications</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Integrated white space infrastructure solutions delivered either as part of modular, factory-built solutions, including SkyBridge, or through a traditional field-built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Turnkey white space deployment, modular deployment, field-built fit-out, high-density and AI-ready environments, lifecycle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Infrastructure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TechFrame steel structures, conveyance systems, rack and cabinet support, cabinet docking, caging / enclosure systems, cable and fiber routing components and other modular infrastructure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space structural platform, equipment support, organized power / cooling / network pathways, modular and field-built deployment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Thermal Management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Containment, airflow management and liquid-cooling-ready products integrated into white space infrastructure systems or sold separately.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Airflow optimization, thermal containment, liquid-cooling readiness, heat isolation and high-density deployment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Installation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installation, electrical fit-out, cabling, rack integration, commissioning, inspection, maintenance, reconfiguration and decommissioning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 delivery, white space fit-up, commissioning, lifecycle services and reconfiguration support.</w:t>
            </w:r>
          </w:p>
        </w:tc>
      </w:tr>
      <w:tr>
        <w:trPr/>
        <w:tc>
          <w:tcPr>
            <w:tcW w:w="1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Branch circuit whips, RPPs, HD-RPPs, PDUs, related monitoring technologies and adjacent upstream power distribution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 monitoring, white space power distribution, factory-wired whips and integrated modular power solutions.</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design, manufacture and install products and integrated solutions for mission-critical data center white space. Our portfolio spans two categories—Infrastructure Solutions and Power Products—which we sell separately or combine into a single, factory-built system. Infrastructure Solutions comprise our SkyBridge modular platform, TechFrame steel structures and conveyance, thermal management products (containment and liquid-cooling-ready systems) and installation and maintenance services. Power Products comprise our remote power panels (including high-density remote power panels), branch circuit whips, power distribution units and related monitoring and upstream distribution products. Customers increasingly buy these products together as a coordinated solution. Our core products and solutions are described below.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Infrastructure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Modular Solutions—SkyBridge</w:t>
      </w:r>
      <w:r>
        <w:rPr>
          <w:rFonts w:ascii="Times New Roman;serif" w:hAnsi="Times New Roman;serif"/>
          <w:b w:val="false"/>
          <w:color w:val="000000"/>
          <w:sz w:val="20"/>
        </w:rPr>
        <w:t>. SkyBridge is our patent-pending, prefabricated modular platform for high-density data center white space. It combines structural support, power distribution, liquid-cooling manifolds, conveyance and containment into a single system that we design, manufacture and install, and it is built for sustained high-density GPU and AI workloads. By delivering the structural backbone and an energized power system together, SkyBridge enables turnkey, modular deployment across hyperscale and AI data halls. Each SkyBridge module is fabricated in the United States, bolted together without field welding and installed by our own service teams, and can be configured by width, height and layout to fit different footprints. It integrates UL-listed 1,200-amp remote power panels and factory-tested branch circuit whips, eliminating on-site electrical terminations and reducing coordination among trades—an approach we estimate can improve field-installation productivity by up to approximately 84% for certain scopes. SkyBridge is central to our modular strategy: as of June 2026, we had engaged three hyperscalers at the full-platform design level and deployed Accelevation-engineered systems for them. It is our primary means of shifting work from the field to the factory, deepening customer relationships and increasing our content per deployment.</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Infrastructure Products—TechFrame Steel Structures and Conveyance</w:t>
      </w:r>
      <w:r>
        <w:rPr>
          <w:rFonts w:ascii="Times New Roman;serif" w:hAnsi="Times New Roman;serif"/>
          <w:b w:val="false"/>
          <w:color w:val="000000"/>
          <w:sz w:val="20"/>
        </w:rPr>
        <w:t>. TechFrame is a floor-supported structural system that combines conveyance, containment and cabinet docking with related steel structures, rack and cabinet supports and cable routing. It provides the structural platform for both modular and field-built white space, organizing power, cooling and network pathways. Its pre-engineered, bolt-together design deploys quickly without field welding, ships in manageable assemblies and can be configured by layout, support tier and finish, including for high-seismic areas. TechFrame is in production and an established source of revenue; because we fabricate it in-house, it supports shorter lead times and serves as the structural backbone for SkyBridge and our other modular assemblies.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Thermal Management Products—Containment and Liquid-Cooling-Ready Systems</w:t>
      </w:r>
      <w:r>
        <w:rPr>
          <w:rFonts w:ascii="Times New Roman;serif" w:hAnsi="Times New Roman;serif"/>
          <w:b w:val="false"/>
          <w:color w:val="000000"/>
          <w:sz w:val="20"/>
        </w:rPr>
        <w:t>. Our thermal management products—containment, airflow management and liquid-cooling-ready systems, including liquid-cooling manifolds—can be integrated into our infrastructure systems or sold separately. They optimize airflow, isolate heat through hot- and cold-aisle containment and support high-density, liquid-cooled deployments. Containment products are in production and an established source of revenue, while liquid-cooling-ready solutions are an area of active expansion as customer demand shifts toward higher-density, liquid-cooled architectures. These products increasingly ship as part of SkyBridge and our other modular systems, expanding our share of customers’ cooling scope.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Installation and Maintenance Services</w:t>
      </w:r>
      <w:r>
        <w:rPr>
          <w:rFonts w:ascii="Times New Roman;serif" w:hAnsi="Times New Roman;serif"/>
          <w:b w:val="false"/>
          <w:color w:val="000000"/>
          <w:sz w:val="20"/>
        </w:rPr>
        <w:t>. We self-perform installation, electrical fit-out, commissioning, maintenance, reconfiguration and decommissioning with our own field crews, including licensed electricians. This gives customers a single point of accountability from factory production through system energization and supports our solutions across the full life of a data hall. We bundle these services with our infrastructure solutions and power products, strengthening customer relationships and creating recurring lifecycle, retrofit and reconfiguration opportunities as our installed base grows.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Power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power products center on compact, high-density electrical distribution—principally remote power panels and branch circuit whips—and we are commercializing adjacent upstream products such as power distribution units and low-voltage distribution panels. These products may be sold separately or integrated into modular assemblies to speed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Remote Power Panels, Including High-Density Remote Power Panels (HD-RPPs)</w:t>
      </w:r>
      <w:r>
        <w:rPr>
          <w:rFonts w:ascii="Times New Roman;serif" w:hAnsi="Times New Roman;serif"/>
          <w:b w:val="false"/>
          <w:color w:val="000000"/>
          <w:sz w:val="20"/>
        </w:rPr>
        <w:t>. Our remote power panels are modular units, installed near the racks, that distribute branch-circuit power to racks and cabinets. The portfolio ranges from core panels rated 225 to 800 amps to a high-density panel designed for both conventional and AI-oriented rack densities and used in the most demanding environments, including hyperscale pods, AI and GPU compute rows, space-constrained retrofits and multi-tenant colocation. The high-density panel delivers 1,200 amps in a compact, UL-listed enclosure and is built to order at our U.S. facilities for each customer’s footprint, circuit count and breaker brand. A proprietary universal adapter accepts breakers from major manufacturers, and a top-mounted interface connects our custom branch circuit whips in a single action, eliminating field-built terminations. Our remote power panels are in production and generate standard-product revenue; the high-density panel is UL-listed and pre-tested, and DC-capable versions are on our roadmap. They anchor our white space power offering, increase our power content per data hall and are integrated into SkyBridge and other modular assemblies.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Branch Circuit Whips</w:t>
      </w:r>
      <w:r>
        <w:rPr>
          <w:rFonts w:ascii="Times New Roman;serif" w:hAnsi="Times New Roman;serif"/>
          <w:b w:val="false"/>
          <w:color w:val="000000"/>
          <w:sz w:val="20"/>
        </w:rPr>
        <w:t>. Branch circuit whips are factory-assembled power cables that provide the final connection from distribution panels to IT equipment and adapt to changing white space layouts in both new construction and reconfigurations. Each whip is UL-listed, factory-tested and built to project-specific requirements—length, wire gauge, conduit size, connector type and labeling—which speeds field installation and reduces the need for costly field testing. Produced in high volume at our U.S. facilities, whips are a meaningful source of standard-product revenue; they are frequently pre-installed on our high-density panels and built into SkyBridge assemblies, and often serve as an entry point to broader customer relationships.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Power Distribution Units (PDUs)</w:t>
      </w:r>
      <w:r>
        <w:rPr>
          <w:rFonts w:ascii="Times New Roman;serif" w:hAnsi="Times New Roman;serif"/>
          <w:b w:val="false"/>
          <w:color w:val="000000"/>
          <w:sz w:val="20"/>
        </w:rPr>
        <w:t xml:space="preserve">. Our power distribution unit is a transformer-based PDU, available in floor- and cabinet-mounted configurations, for environments that need high-capacity, reliable distribution.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It steps a facility’s 480V supply down to the voltages IT equipment requires and distributes power to cabinet rows, and can also feed UPS systems, switchgear or primary panels. Offered in configurable arrangements with capacity up to 1500 kVA and integrated monitoring, the PDU is an adjacent, higher-value upstream product we are commercializing to expand selectively up the electrical distribution hierarchy. It extends our scope from white space power into row-level distribution, increases our content per megawatt and positions us earlier in the design cycle.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Platform Differentiators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combines deeply embedded customer relationships, in-house engineering and design expertise, scaled U.S. manufacturing, modular and prefabricated delivery, a growing Power Products portfolio and nationwide field execution capabilities. By integrating these capabilities, we are able to shift substantial portions of traditionally field-built work into controlled manufacturing environments, reduce on-site labor demands, simplify coordination and support faster, more predictable deployment of complex data center infrastructure with greater customization and accountability.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Time to Market and Customer-Tailored Delivery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strategically across the data center ecosystem, including hyperscale operators, colocation providers, end users and general contractors. As of June 2026, we have engaged with three hyperscalers at the total platform design level and deployed Accelevation-engineered systems for those customers, helping inform future-state program designs that may be incorporated into customer technical standards and project specifications. These relationships provide insight into evolving technical requirements, project timelines and deployment priorities, and allow us to support customers from planning and specification through manufacturing, installation and commissioning.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integrated delivery model provides a single point of accountability across a broader scope of products and services. Rather than requiring customers to coordinate multiple vendors across infrastructure, thermal management, power, monitoring, fabrication, logistics and on-site execution, we provide a unified platform designed to reduce handoffs, improve coordination and support faster deployment. Many of our customers’ programs span multiple years and involve recurring expansion phases, which we believe supports planning, capacity investment and disciplined execution, and puts us in an advantageous position to secure additional work.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Engineering, Design and Customization Capabilities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engineering and design organization is a core competitive asset. We employed a growing team of more than 50 engineers and technical designers as of June 30, 2026, who have developed an extensive library of reference designs and deliver nearly 700 custom designs annually. Our capabilities span mechanical design, electrical engineering, structural analysis, thermal modeling and installation planning. We use advanced CAD/CAM systems, parametric design tools and digital engineering workflows to accelerate turnaround times while maintaining accuracy, manufacturability and execution discipline.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Data center infrastructure requirements are evolving rapidly, including increasing power density, higher thermal loads, broader adoption of liquid-cooled and hybrid architectures and continuous changes in chip architectures and related equipment. Our team is able to rapidly design and deliver solutions intended to meet these requirements, and our solutions-oriented approach supports customer outcomes focused on performance, reliability, scalability and speed of deployment. Because job sites and customer requirements change frequently, our short lead times, domestic manufacturing footprint and integrated engineering model allow us to respond to change orders and modify solutions during execution, reducing field modifications, rework and commissioning delays.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Scaled U.S. Manufacturing, Modularity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a scaled, domestic manufacturing platform designed to support large hyperscale and data center customers that require speed, flexibility and scale. Our manufacturing operations allow us to shorten supply chains, improve production coordination and shift substantial portions of traditionally field-built work into controlled manufacturing environments. We believe customers increasingly value suppliers that can grow with them across multiple sites, execute at scale and deliver domestically manufactured solutions on compressed timelines.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modular, factory-assembled approach is designed to reduce the amount of work required at the job site by moving more assembly activity into controlled manufacturing environments. For certain modular scopes, we estimate this approach can improve field installation productivity by up to approximately 84% compared with traditional field-built methods, thereby reducing field installation time from weeks to as few as eight days. By reducing on-site labor intensity, simplifying installation and limiting the number of trades and hand-offs required in the field, our modular approach can improve safety, enhance constructability and support more predictable deployment schedules. In parallel, we are investing directly in U.S. manufacturing talent through internal training academies, apprenticeship-style programs and on-the-job development that upskill teammates in welding, electrical work, manufacturing operations, field services and safety.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Portfolio Evolution Through Power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ability to introduce differentiated products, including DC-capable RPPs, PDUs and a proprietary power quality monitoring system, can increase power content per data hall, deepen customer engagement in design and specification decisions, enable more power content to be integrated into modular assemblies for rapid deployment and create additional lifecycle service, retrofit and reconfiguration opportunities as our installed base grows. Over time, while our primary focus remains data centers, we believe our Power Products platform may also support disciplined expansion into select adjacent mission-critical power infrastructure applications.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the large and rapidly growing data center infrastructure market. The convergence of cloud computing, AI and enterprise digitization is driving significant demand for new data center capacity, the expansion and upgrade of existing facilities and related investments in power distribution, modular infrastructure, thermal management, design and services. BCE forecasts that annual U.S. data center new IT load capacity, including both new construction and retrofit capacity, will grow from approximately 6.5 gigawatts in 2025 to approximately 14.8 gigawatts by 2030, representing an 18% CAGR.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Across our offerings, BCE estimates our actionable TAM in data centers at $22.0 billion in 2025, with substantial growth projected through the end of the decade at an estimated 30% CAGR. In addition, in the future we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8"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decide to pursue adjacent applications for our Power Products portfolio across grid, industrial and other end markets, representing attractive additional potential growth vectors.</w:t>
      </w:r>
    </w:p>
    <w:p>
      <w:pPr>
        <w:pStyle w:val="TextBody"/>
        <w:bidi w:val="0"/>
        <w:spacing w:before="160" w:after="160"/>
        <w:jc w:val="center"/>
        <w:rPr/>
      </w:pPr>
      <w:r>
        <w:rPr/>
        <w:drawing>
          <wp:inline distT="0" distB="0" distL="0" distR="0">
            <wp:extent cx="5943600" cy="3333750"/>
            <wp:effectExtent l="0" t="0" r="0" b="0"/>
            <wp:docPr id="1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 descr=""/>
                    <pic:cNvPicPr>
                      <a:picLocks noChangeAspect="1" noChangeArrowheads="1"/>
                    </pic:cNvPicPr>
                  </pic:nvPicPr>
                  <pic:blipFill>
                    <a:blip r:embed="rId9"/>
                    <a:stretch>
                      <a:fillRect/>
                    </a:stretch>
                  </pic:blipFill>
                  <pic:spPr bwMode="auto">
                    <a:xfrm>
                      <a:off x="0" y="0"/>
                      <a:ext cx="5943600" cy="3333750"/>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Focusing on modular infrastructure solutions in the white space, we estimate the U.S. market at approximately $3.9 billion in 2025, growing at an approximately 35% CAGR to approximately $17.7 billion in 2030. Data center infrastructure has become increasingly critical as customers invest in higher-density compute environments, seek faster time-to-capacity and address rising power, cooling and resiliency requirements, driving adoption of modular and prefabricated infrastructure. We believe these dynamics are creating a sustained, multi-year demand environment for our offerings, with the following demand drivers being of particular relevance to our business:</w:t>
      </w:r>
    </w:p>
    <w:p>
      <w:pPr>
        <w:pStyle w:val="TextBody"/>
        <w:bidi w:val="0"/>
        <w:spacing w:lineRule="auto" w:line="288" w:before="160" w:after="283"/>
        <w:ind w:left="0" w:right="0" w:firstLine="360"/>
        <w:jc w:val="both"/>
        <w:rPr/>
      </w:pPr>
      <w:r>
        <w:rPr>
          <w:rFonts w:ascii="Times New Roman;serif" w:hAnsi="Times New Roman;serif"/>
          <w:b/>
          <w:color w:val="000000"/>
          <w:sz w:val="20"/>
        </w:rPr>
        <w:t>Continued investment in new data center capacity.</w:t>
      </w:r>
      <w:r>
        <w:rPr>
          <w:color w:val="000000"/>
        </w:rPr>
        <w:t xml:space="preserve"> </w:t>
      </w:r>
      <w:r>
        <w:rPr>
          <w:rFonts w:ascii="Times New Roman;serif" w:hAnsi="Times New Roman;serif"/>
          <w:b w:val="false"/>
          <w:color w:val="000000"/>
          <w:sz w:val="20"/>
        </w:rPr>
        <w:t>Rapid growth in cloud computing, AI and broader digital workloads is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BCE estimates that hyperscalers will account for over 70% of U.S. new IT load additions from 2025 through 2030, more than doubling their equipment spend, across both self-built facilities and hyperscaler-related colocation deployments. As a result, suppliers that can meet hyperscaler requirements for scale, quality, customization, supply-chain reliability and delivery certainty are positioned to participate in a disproportionate share of future market growth. BCE further estimates that hyperscaler capital expenditures will exceed $1.0 trillion by the end of 2027, underscoring the scale of ongoing investment in data center capacity by our largest customers.</w:t>
      </w:r>
    </w:p>
    <w:p>
      <w:pPr>
        <w:pStyle w:val="TextBody"/>
        <w:bidi w:val="0"/>
        <w:spacing w:lineRule="auto" w:line="288" w:before="160" w:after="283"/>
        <w:ind w:left="0" w:right="0" w:firstLine="360"/>
        <w:jc w:val="both"/>
        <w:rPr/>
      </w:pPr>
      <w:r>
        <w:rPr>
          <w:rFonts w:ascii="Times New Roman;serif" w:hAnsi="Times New Roman;serif"/>
          <w:b/>
          <w:color w:val="000000"/>
          <w:sz w:val="20"/>
        </w:rPr>
        <w:t>More infrastructure required per megawatt of capacity.</w:t>
      </w:r>
      <w:r>
        <w:rPr>
          <w:color w:val="000000"/>
        </w:rPr>
        <w:t xml:space="preserve"> </w:t>
      </w:r>
      <w:r>
        <w:rPr>
          <w:rFonts w:ascii="Times New Roman;serif" w:hAnsi="Times New Roman;serif"/>
          <w:b w:val="false"/>
          <w:color w:val="000000"/>
          <w:sz w:val="20"/>
        </w:rPr>
        <w:t>Data centers are becoming more power-intensive and technically complex. BCE indicates that enterprise and cloud applications often operate at 20 to 40 kilowatts per rack, while AI and high-performance computing applications are running at approximately 40 to 135 kilowatts per rack. BCE also notes that industry sources see rack densities potentially reaching 250+ kilowatts per rack by 2027 or 2028, 600+ kilowatts per rack by 2028 and, in niche cases, one megawatt per rack by 2031. Higher-density compute increases the amount and complexity of electrical distribution, cooling, containment, monitoring and supporting infrastructure required per megawatt of capacity.</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160" w:after="283"/>
        <w:ind w:left="0" w:right="0" w:firstLine="360"/>
        <w:jc w:val="both"/>
        <w:rPr/>
      </w:pPr>
      <w:r>
        <w:rPr>
          <w:rFonts w:ascii="Times New Roman;serif" w:hAnsi="Times New Roman;serif"/>
          <w:b/>
          <w:color w:val="000000"/>
          <w:sz w:val="20"/>
        </w:rPr>
        <w:t>Increasing scale and coordination complexity of hyperscale developments.</w:t>
      </w:r>
      <w:r>
        <w:rPr>
          <w:color w:val="000000"/>
        </w:rPr>
        <w:t xml:space="preserve"> </w:t>
      </w:r>
      <w:r>
        <w:rPr>
          <w:rFonts w:ascii="Times New Roman;serif" w:hAnsi="Times New Roman;serif"/>
          <w:b w:val="false"/>
          <w:color w:val="000000"/>
          <w:sz w:val="20"/>
        </w:rPr>
        <w:t>AI-driven demand is producing data center developments of increasing scale and complexity. For example, campus-scale AI data center projects such as the Abilene, Texas data center campus have involved over 5,000 workers on site at a given time, illustrating the scale of coordination, sequencing and scheduling required across trades, vendors and workstreams on modern hyperscale developments. We believe this increasing project scale amplifies the coordination burden and complexity tax that fragmented, multi-vendor delivery models impose on customers, and increases the value of our solutions that are designed to reduce complexity, provide single-source accountability and support the disciplined execution required to manage developments of this scale.</w:t>
      </w:r>
    </w:p>
    <w:p>
      <w:pPr>
        <w:pStyle w:val="TextBody"/>
        <w:bidi w:val="0"/>
        <w:spacing w:lineRule="auto" w:line="288" w:before="160" w:after="283"/>
        <w:ind w:left="0" w:right="0" w:firstLine="360"/>
        <w:jc w:val="both"/>
        <w:rPr/>
      </w:pPr>
      <w:r>
        <w:rPr>
          <w:rFonts w:ascii="Times New Roman;serif" w:hAnsi="Times New Roman;serif"/>
          <w:b/>
          <w:color w:val="000000"/>
          <w:sz w:val="20"/>
        </w:rPr>
        <w:t>Greater emphasis on speed, capacity and execution certainty.</w:t>
      </w:r>
      <w:r>
        <w:rPr>
          <w:color w:val="000000"/>
        </w:rPr>
        <w:t xml:space="preserve"> </w:t>
      </w:r>
      <w:r>
        <w:rPr>
          <w:rFonts w:ascii="Times New Roman;serif" w:hAnsi="Times New Roman;serif"/>
          <w:b w:val="false"/>
          <w:color w:val="000000"/>
          <w:sz w:val="20"/>
        </w:rPr>
        <w:t>As demand for AI and cloud infrastructure accelerates, customers are increasingly prioritizing speed-to-capacity, on-time delivery, available manufacturing capacity and supply-chain reliability, with BCE indicating that these factors have become more important than cost for certain hyperscale customers because delayed capacity can defer GPU deployment and related revenue generation. We estimate that these delays can cost customers approximately $1.0 million per megawatt of capacity per month, based on a hypothetical one gigawatt hyperscale AI deployment and data derived from third-party sources, underscoring the financial significance of these factors to our customer base. Although our solutions generally represent approximately 9-12% of total data center construction cost, based on company estimates, they are often installed on the critical path before customers can deploy revenue-generating IT equipment. Because our infrastructure must be installed before customers can energize and deploy revenue-generating compute capacity, delays in our scope can directly impact deployment schedules and time-to-revenue. As a result, operators are increasingly willing to pay premiums for suppliers that can reduce coordination risk, compress installation timelines and bring capacity online faster. We believe this dynamic increases the value of infrastructure providers that combine engineering support, manufacturing capacity, supply-chain reliability and field execution, supporting value-based procurement decisions, disciplined pricing and favorable margin capture for scaled suppliers that can deliver speed, quality and execution certainty.</w:t>
      </w:r>
    </w:p>
    <w:p>
      <w:pPr>
        <w:pStyle w:val="TextBody"/>
        <w:bidi w:val="0"/>
        <w:spacing w:lineRule="auto" w:line="288" w:before="160" w:after="283"/>
        <w:ind w:left="0" w:right="0" w:firstLine="360"/>
        <w:jc w:val="both"/>
        <w:rPr/>
      </w:pPr>
      <w:r>
        <w:rPr>
          <w:rFonts w:ascii="Times New Roman;serif" w:hAnsi="Times New Roman;serif"/>
          <w:b/>
          <w:color w:val="000000"/>
          <w:sz w:val="20"/>
        </w:rPr>
        <w:t>Increasing modularization and prefabrication.</w:t>
      </w:r>
      <w:r>
        <w:rPr>
          <w:color w:val="000000"/>
        </w:rPr>
        <w:t xml:space="preserve"> </w:t>
      </w:r>
      <w:r>
        <w:rPr>
          <w:rFonts w:ascii="Times New Roman;serif" w:hAnsi="Times New Roman;serif"/>
          <w:b w:val="false"/>
          <w:color w:val="000000"/>
          <w:sz w:val="20"/>
        </w:rPr>
        <w:t xml:space="preserve">Data center operators are increasingly adopting modular, prefabricated and factory-built infrastructure inside the white space to reduce field labor requirements, compress deployment timelines, improve safety and improve execution certainty. Remote locations, labor scarcity and extended lead times further reinforce the value of modular solutions for operators prioritizing speed to deployment. BCE estimates that modular solutions are currently used in approximately 70% of new data center builds and projects penetration to increase to approximately 85% by 2030. Within new construction, BCE expects a meaningful mix shift toward more integrated deployments, with end-to-end modular solutions increasing from approximately 15% of projects in 2025 to approximately 30% by 2030. Although retrofit deployments are more constrained by existing space, layout and electrical infrastructure, BCE expects end-to-end modular adoption in retrofits to continue increasing as the installed base expands and operators seek faster, more predictable upgrade paths. Modular solutions can command a substantial premium over equivalent component costs, reflecting the value of design, integration, safety and deployment speed, as customers are increasingly willing to pay more to accelerate time-to-capacity. Our modular solutions accounted for approximately $700.0 million of bookings for the nine month period since initial development in September 2025. For the three months ended March 31, 2026, our book-to-bill ratio was 1.9x. </w:t>
      </w:r>
    </w:p>
    <w:p>
      <w:pPr>
        <w:pStyle w:val="TextBody"/>
        <w:bidi w:val="0"/>
        <w:spacing w:lineRule="auto" w:line="288" w:before="160" w:after="283"/>
        <w:ind w:left="0" w:right="0" w:firstLine="360"/>
        <w:jc w:val="both"/>
        <w:rPr/>
      </w:pPr>
      <w:r>
        <w:rPr>
          <w:rFonts w:ascii="Times New Roman;serif" w:hAnsi="Times New Roman;serif"/>
          <w:b/>
          <w:color w:val="000000"/>
          <w:sz w:val="20"/>
        </w:rPr>
        <w:t>Increasing need for customized and engineered-to-order infrastructure.</w:t>
      </w:r>
      <w:r>
        <w:rPr>
          <w:color w:val="000000"/>
        </w:rPr>
        <w:t xml:space="preserve"> </w:t>
      </w:r>
      <w:r>
        <w:rPr>
          <w:rFonts w:ascii="Times New Roman;serif" w:hAnsi="Times New Roman;serif"/>
          <w:b w:val="false"/>
          <w:color w:val="000000"/>
          <w:sz w:val="20"/>
        </w:rPr>
        <w:t>Higher-density data centers, evolving power and cooling architectures and customer-specific design standards are increasing the need for customized white space infrastructure across both Infrastructure Solutions and Power Products. BCE estimates that many relevant data center power products are customized 40% or more of the time, with particularly high customization levels for power distribution units and power skids. Infrastructure Solutions are also increasingly customer- and site-specific, varying by cooling architecture, rack density, aisle and containment configuration, seismic and structural load requirements, cable pathway routing, material and finish specifications, compliance requirements, monitoring integration and deployment sequencing. We believe this trend favors suppliers with engineering depth, flexible domestic manufacturing capabilities, modular and prefabricated delivery expertise, field execution capabilities and the ability to support repeatable customization at scale across integrated structural, thermal, power, monitoring and services scopes.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160" w:after="283"/>
        <w:ind w:left="0" w:right="0" w:firstLine="360"/>
        <w:jc w:val="both"/>
        <w:rPr/>
      </w:pPr>
      <w:r>
        <w:rPr>
          <w:rFonts w:ascii="Times New Roman;serif" w:hAnsi="Times New Roman;serif"/>
          <w:b/>
          <w:color w:val="000000"/>
          <w:sz w:val="20"/>
        </w:rPr>
        <w:t>Greater power and cooling complexity.</w:t>
      </w:r>
      <w:r>
        <w:rPr>
          <w:color w:val="000000"/>
        </w:rPr>
        <w:t xml:space="preserve"> </w:t>
      </w:r>
      <w:r>
        <w:rPr>
          <w:rFonts w:ascii="Times New Roman;serif" w:hAnsi="Times New Roman;serif"/>
          <w:b w:val="false"/>
          <w:color w:val="000000"/>
          <w:sz w:val="20"/>
        </w:rPr>
        <w:t>As AI and other high-density workloads increase rack-level power requirements, data center operators are rethinking the design of the data hall. Higher-density deployments require more electrical distribution infrastructure, more advanced cooling approaches and tighter coordination across power, containment, structural infrastructure and field execution. Power products are one of the clearest beneficiaries of this shift. BCE estimates that AI-oriented deployments require roughly 2.5x the electrical distribution spend of non-AI deployments and that the TAM for power products deployed in data centers will grow from approximately $10.4 billion in 2025 to approximately $35.5 billion by 2030. Within power products, BCE estimates that the TAM for PDUs will grow from approximately $1.8 billion in 2025 to approximately $5.5 billion by 2030, the TAM for automatic transfer switches will grow from approximately $1.7 billion in 2025 to approximately $4.0 billion by 2030, and the TAM for switchboards will grow from approximately $3.1 billion in 2025 to approximately $6.6 billion by 2030. Power architecture is also becoming a more important design variable, with BCE estimating that approximately 25% of new high-density deployments in 2025 evaluated or adopted AC/DC or hybrid power architectures, with penetration potentially reaching approximately 75% by 2030. As customers evaluate these architectures, power distribution, monitoring, branch circuiting, modular integration and commissioning decisions become more complex and more closely tied to the overall white space design. Higher-density environments are also accelerating demand for more advanced cooling infrastructure. BCE identifies liquid cooling as a meaningful greenfield equipment opportunity across high-density data center builds and identifies coolant distribution units and secondary fluid networks as among the fastest-growing product categories in the data center infrastructure market. We believe these shifts directly reinforce the value of Accelevation’s integrated platform. As power, cooling, containment and white space layouts become more interdependent, customers increasingly need partners that can coordinate design, manufacturing and installation across multiple infrastructure systems. This complexity also expands the opportunity for related services, including design, installation, retrofit and deployment support, which BCE expects to grow from approximately $7.8 billion in 2025 to approximately $27.1 billion in 2030, representing a CAGR of more than 25%.</w:t>
      </w:r>
    </w:p>
    <w:p>
      <w:pPr>
        <w:pStyle w:val="TextBody"/>
        <w:bidi w:val="0"/>
        <w:spacing w:lineRule="auto" w:line="288" w:before="160" w:after="283"/>
        <w:ind w:left="0" w:right="0" w:firstLine="360"/>
        <w:jc w:val="both"/>
        <w:rPr/>
      </w:pPr>
      <w:r>
        <w:rPr>
          <w:rFonts w:ascii="Times New Roman;serif" w:hAnsi="Times New Roman;serif"/>
          <w:b/>
          <w:color w:val="000000"/>
          <w:sz w:val="20"/>
        </w:rPr>
        <w:t>Growing refresh, retrofit and replacement demand.</w:t>
      </w:r>
      <w:r>
        <w:rPr>
          <w:color w:val="000000"/>
        </w:rPr>
        <w:t xml:space="preserve"> </w:t>
      </w:r>
      <w:r>
        <w:rPr>
          <w:rFonts w:ascii="Times New Roman;serif" w:hAnsi="Times New Roman;serif"/>
          <w:b w:val="false"/>
          <w:color w:val="000000"/>
          <w:sz w:val="20"/>
        </w:rPr>
        <w:t>The expanding installed base of data centers is creating a growing opportunity for refresh, refurbishment and retrofit activity. As server and GPU architectures evolve, customers need to modify white space layouts, power distribution and thermal infrastructure in shorter cycles than historical data center refresh models. BCE estimates that certain chip and server platforms may be replaced on approximately three-to-five-year cycles, and that new GPU architectures may require changes in power and thermal architecture. Where a customer rips and replaces server infrastructure, we believe the required reconfiguration of white space infrastructure can represent a revenue opportunity similar in scope to portions of the initial build.</w:t>
      </w:r>
    </w:p>
    <w:p>
      <w:pPr>
        <w:pStyle w:val="TextBody"/>
        <w:bidi w:val="0"/>
        <w:spacing w:lineRule="auto" w:line="288" w:before="160" w:after="283"/>
        <w:ind w:left="0" w:right="0" w:firstLine="360"/>
        <w:jc w:val="both"/>
        <w:rPr/>
      </w:pPr>
      <w:r>
        <w:rPr>
          <w:rFonts w:ascii="Times New Roman;serif" w:hAnsi="Times New Roman;serif"/>
          <w:b/>
          <w:color w:val="000000"/>
          <w:sz w:val="20"/>
        </w:rPr>
        <w:t>Adjacent power infrastructure markets.</w:t>
      </w:r>
      <w:r>
        <w:rPr>
          <w:color w:val="000000"/>
        </w:rPr>
        <w:t xml:space="preserve"> </w:t>
      </w:r>
      <w:r>
        <w:rPr>
          <w:rFonts w:ascii="Times New Roman;serif" w:hAnsi="Times New Roman;serif"/>
          <w:b w:val="false"/>
          <w:color w:val="000000"/>
          <w:sz w:val="20"/>
        </w:rPr>
        <w:t>In addition to data centers, relevant power infrastructure markets provide an expansion opportunity for our Power Products portfolio. BCE estimates that adjacent markets across grid, industrial and other mission-critical/commercial applications, including financial institutions, represent an incremental TAM of approximately $13.3 billion as of 2025, which is forecasted to grow to approximately $21.2 billion by 2030, representing an approximately 10% CAGR. While data centers represent our primary growth opportunity, these adjacent markets provide additional secular demand drivers tied to electrification, grid modernization, resiliency and the need for reliable power infrastructure.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Accelevation’s platform is differentiated by a set of strengths that support rapid, reliable delivery of mission-critical data center infrastructure.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Experienced, Founder-Led Management Team and Entrepreneurial Culture Focused on Speed, Execution and Fearless Innovation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management team has the experience required to scale an integrated manufacturing and services platform serving mission-critical infrastructure markets. Our founder-led team is supported by experienced executives across operations, delivery, commercial leadership, finance and Power Products. We intentionally hire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builders, maintain a flat organization and emphasize speed, entrepreneurial ownership and rapid problem solving. We believe our leadership provides the ability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Execute with founder-led vision and operating discipline.</w:t>
      </w:r>
      <w:r>
        <w:rPr>
          <w:color w:val="000000"/>
        </w:rPr>
        <w:t xml:space="preserve"> </w:t>
      </w:r>
      <w:r>
        <w:rPr>
          <w:rFonts w:ascii="Times New Roman;serif" w:hAnsi="Times New Roman;serif"/>
          <w:b w:val="false"/>
          <w:color w:val="000000"/>
          <w:sz w:val="20"/>
        </w:rPr>
        <w:t>Our co-founder and Chief Executive Officer, Michael Rubiera, has led Accelevation since its founding in 2017 and has overseen the company’s growth from less than $3.0 million in revenue in 2021 to $447.8 million in 2025. He is supported by an experienced management team with deep expertise across finance, operations, engineering, commercial execution and project delivery.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Commercialize and scale new offerings.</w:t>
      </w:r>
      <w:r>
        <w:rPr>
          <w:color w:val="000000"/>
        </w:rPr>
        <w:t xml:space="preserve"> </w:t>
      </w:r>
      <w:r>
        <w:rPr>
          <w:rFonts w:ascii="Times New Roman;serif" w:hAnsi="Times New Roman;serif"/>
          <w:b w:val="false"/>
          <w:color w:val="000000"/>
          <w:sz w:val="20"/>
        </w:rPr>
        <w:t xml:space="preserve">Our leadership team has demonstrated the ability to bring new products and capabilities to market as customer requirements evolve, including standing up new business lines, obtaining certifications and converting prototypes into revenue-generating products on compressed timelines. The majority of our current backlog is driven by new products launched since mid-2025. These new products are primarily our modular solutions, including SkyBridge, and our Power Products portfolio, including RPPs, HD-RPPs and PDUs. We were the first to market a 1200 amp RPP, which took approximately six months to develop from concept to prototype. The business also has a robust pipeline of new products scheduled to launch in late 2026 through mid-2027 across power distribution, modular infrastructure and thermal management product lines. </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Manage complexity across an integrated platform.</w:t>
      </w:r>
      <w:r>
        <w:rPr>
          <w:color w:val="000000"/>
        </w:rPr>
        <w:t xml:space="preserve"> </w:t>
      </w:r>
      <w:r>
        <w:rPr>
          <w:rFonts w:ascii="Times New Roman;serif" w:hAnsi="Times New Roman;serif"/>
          <w:b w:val="false"/>
          <w:color w:val="000000"/>
          <w:sz w:val="20"/>
        </w:rPr>
        <w:t>Scaling a design-manufacture-install platform requires coordination across engineering, manufacturing, supply chain and field execution, and we believe our leadership team is organized to manage this complexity effectively.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Use selective acquisitions to add capabilities.</w:t>
      </w:r>
      <w:r>
        <w:rPr>
          <w:color w:val="000000"/>
        </w:rPr>
        <w:t xml:space="preserve"> </w:t>
      </w:r>
      <w:r>
        <w:rPr>
          <w:rFonts w:ascii="Times New Roman;serif" w:hAnsi="Times New Roman;serif"/>
          <w:b w:val="false"/>
          <w:color w:val="000000"/>
          <w:sz w:val="20"/>
        </w:rPr>
        <w:t>Since 2023, we have completed strategic acquisitions, including Aura Energy in January 2025 for total consideration of $18.7 million and SteelPro in October 2025 for total consideration of $43.5 million, to expand manufacturing capacity, add technical capabilities and accelerate our organic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Integrate acquired capabilities into the broader platform.</w:t>
      </w:r>
      <w:r>
        <w:rPr>
          <w:color w:val="000000"/>
        </w:rPr>
        <w:t xml:space="preserve"> </w:t>
      </w:r>
      <w:r>
        <w:rPr>
          <w:rFonts w:ascii="Times New Roman;serif" w:hAnsi="Times New Roman;serif"/>
          <w:b w:val="false"/>
          <w:color w:val="000000"/>
          <w:sz w:val="20"/>
        </w:rPr>
        <w:t>We believe our management team is well-positioned to integrate acquired businesses, align them with our operating model and translate those capabilities into broader commercial and execution benefits. We generally prefer to build capabilities organically when doing so can meet customer timelines and use acquisitions selectively to add intellectual property, talent, capacity or a foundation that allows us to move faster.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Entrenched Customer Relationships, Go-to-Market Reach and Healthy Pipeline Visibility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durable, entrenched customer relationships and visibility into future demand provide us with important competitive advantages in mission-critical data center markets. Substantially all of our revenue is derived from data center customers, and we serve many of the world’s most demanding hyperscale operators, leading developers, colocation providers and other large-scale participants. These customers typically require rapid innovation, large-scale capacity, deep technical engagement, direct access to decision-makers and high execution certainty, and we believe our ability to win work from them demonstrates the differentiation of our platform.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go-to-market model is supported by relationships across the data center ecosystem, including hyperscale operators, colocation providers, end users and general contractors. We do not rely solely on one channel to market. Instead, our customer engagement spans operators, end users, colocation providers and construction partners, allowing us to support customer needs from planning and specification through manufacturing, installation and commissioning. We believe this customer position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multi-year visibility through order book, commitments and pipeline.</w:t>
      </w:r>
      <w:r>
        <w:rPr>
          <w:color w:val="000000"/>
        </w:rPr>
        <w:t xml:space="preserve"> </w:t>
      </w:r>
      <w:r>
        <w:rPr>
          <w:rFonts w:ascii="Times New Roman;serif" w:hAnsi="Times New Roman;serif"/>
          <w:b w:val="false"/>
          <w:color w:val="000000"/>
          <w:sz w:val="20"/>
        </w:rPr>
        <w:t>As of March 31, 2026, we had approximately $650.4 million of backlog, supplemented by a healthy pipeline significantly tied to large hyperscale operators and colocation providers. Many of these programs span multiple years and involve recurring expansion phases, which we believe supports planning, capacity investment and disciplined execution.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revenue per customer and expand scope across offerings.</w:t>
      </w:r>
      <w:r>
        <w:rPr>
          <w:color w:val="000000"/>
        </w:rPr>
        <w:t xml:space="preserve"> </w:t>
      </w:r>
      <w:r>
        <w:rPr>
          <w:rFonts w:ascii="Times New Roman;serif" w:hAnsi="Times New Roman;serif"/>
          <w:b w:val="false"/>
          <w:color w:val="000000"/>
          <w:sz w:val="20"/>
        </w:rPr>
        <w:t>Average revenue per customer increased from approximately $0.7 million in 2023 to approximately $3.9 million in 2025, demonstrating strong scope expansion.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across sites and programs.</w:t>
      </w:r>
      <w:r>
        <w:rPr>
          <w:color w:val="000000"/>
        </w:rPr>
        <w:t xml:space="preserve"> </w:t>
      </w:r>
      <w:r>
        <w:rPr>
          <w:rFonts w:ascii="Times New Roman;serif" w:hAnsi="Times New Roman;serif"/>
          <w:b w:val="false"/>
          <w:color w:val="000000"/>
          <w:sz w:val="20"/>
        </w:rPr>
        <w:t>We work with major hyperscale operators and believe consistent execution, direct engagement, speed and an expanding product portfolio enable us to extend relationships across additional customer sites and multi-site programs.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Benefit from vendor consolidation trends.</w:t>
      </w:r>
      <w:r>
        <w:rPr>
          <w:color w:val="000000"/>
        </w:rPr>
        <w:t xml:space="preserve"> </w:t>
      </w:r>
      <w:r>
        <w:rPr>
          <w:rFonts w:ascii="Times New Roman;serif" w:hAnsi="Times New Roman;serif"/>
          <w:b w:val="false"/>
          <w:color w:val="000000"/>
          <w:sz w:val="20"/>
        </w:rPr>
        <w:t>Hyperscale operators are increasingly concentrating spend with fewer, larger infrastructure partners that can offer single-source accountability, scaled manufacturing capacity, nationwide installation capabilities and the balance sheet required to support working capital and bonding needs across multi-site, multi-year programs. As projects grow larger, customers may require suppliers to bid on an entire building, multiple buildings or broader campus scope, which naturally reduces the number of eligible suppliers. On certain large gigawatt-scale campus buildouts, we increasingly compete in limited bidder sets as smaller players often lack the manufacturing capacity, working capital or organizational depth required to execute at that scale.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Vertically Integrated, Customized Solutions Designed for Next-Generation Infrastructure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differentiated, end-to-end solution that integrates the design, manufacturing and installation of Infrastructure Solutions and Power Products under a single operating platform.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Data center infrastructure requirements are evolving rapidly, including increasing power density, higher thermal loads, broader adoption of liquid-cooled and hybrid architectures and continuous changes in chip architectures and related equipment. We design and deliver solutions intended to meet these requirements, and our solutions-oriented approach supports customer outcomes focused on performance, reliability, scalability and speed of deployment. Our patent-pending SkyBridge platform and related customer-specific modular systems exemplify this approach by combining structure, containment, thermal management readiness and power distribution into a pre-engineered system designed to be manufactured and deployed as a single coordinated platform.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combination of integrated capabilities, operating processes and skilled resources required to deliver consistently across large, multi-site deployments is difficult to replicate. Our vertically integrated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single-source accountability across products and services.</w:t>
      </w:r>
      <w:r>
        <w:rPr>
          <w:color w:val="000000"/>
        </w:rPr>
        <w:t xml:space="preserve"> </w:t>
      </w:r>
      <w:r>
        <w:rPr>
          <w:rFonts w:ascii="Times New Roman;serif" w:hAnsi="Times New Roman;serif"/>
          <w:b w:val="false"/>
          <w:color w:val="000000"/>
          <w:sz w:val="20"/>
        </w:rPr>
        <w:t>Customers can procure a broader scope from one provider rather than coordinating across multiple vendors for infrastructure, thermal management, power, monitoring, fabrication, logistics and on-site execution. We believe this reduces potential points of failure, simplifies accountability and creates meaningful switching costs for customers who would otherwise need to interface with multiple vendors across connected scopes of work.</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Compress delivery timelines.</w:t>
      </w:r>
      <w:r>
        <w:rPr>
          <w:color w:val="000000"/>
        </w:rPr>
        <w:t xml:space="preserve"> </w:t>
      </w:r>
      <w:r>
        <w:rPr>
          <w:rFonts w:ascii="Times New Roman;serif" w:hAnsi="Times New Roman;serif"/>
          <w:b w:val="false"/>
          <w:color w:val="000000"/>
          <w:sz w:val="20"/>
        </w:rPr>
        <w:t>By controlling design, component fabrication, manufacturing and installation in-house, and by buying and converting many readily available raw materials directly, we believe we reduce coordination delays and hand-off friction inherent in a multi-vendor approach, enabling customers to bring data center capacity online faster.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Deliver customized solutions for site-specific and customer-specific requirements.</w:t>
      </w:r>
      <w:r>
        <w:rPr>
          <w:color w:val="000000"/>
        </w:rPr>
        <w:t xml:space="preserve"> </w:t>
      </w:r>
      <w:r>
        <w:rPr>
          <w:rFonts w:ascii="Times New Roman;serif" w:hAnsi="Times New Roman;serif"/>
          <w:b w:val="false"/>
          <w:color w:val="000000"/>
          <w:sz w:val="20"/>
        </w:rPr>
        <w:t>We work with customers to tailor solutions to the physical and operational constraints of each data hall environment, including customer architecture, layout, access, deployment sequencing, thermal approach, power topology and commissioning requirements. Our role as a single-source provider positions us as a strategic partner rather than a commodity supplier.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Design with next-generation requirements in mind.</w:t>
      </w:r>
      <w:r>
        <w:rPr>
          <w:color w:val="000000"/>
        </w:rPr>
        <w:t xml:space="preserve"> </w:t>
      </w:r>
      <w:r>
        <w:rPr>
          <w:rFonts w:ascii="Times New Roman;serif" w:hAnsi="Times New Roman;serif"/>
          <w:b w:val="false"/>
          <w:color w:val="000000"/>
          <w:sz w:val="20"/>
        </w:rPr>
        <w:t>Our products and configurations are intended to support evolving infrastructure architectures, including higher-density deployments, airflow-to-liquid thermal transitions, changing chip architectures and changing power distribution approaches associated with AI-oriented data center environments. Because job sites and customer requirements change frequently, our domestic manufacturing footprint, engineering capabilities and integrated operating model allow us to respond to changes during execution, reducing field modifications, rework and commissioning delays.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modular, configurable deployments with reduced on-site labor and improved safety.</w:t>
      </w:r>
      <w:r>
        <w:rPr>
          <w:color w:val="000000"/>
        </w:rPr>
        <w:t xml:space="preserve"> </w:t>
      </w:r>
      <w:r>
        <w:rPr>
          <w:rFonts w:ascii="Times New Roman;serif" w:hAnsi="Times New Roman;serif"/>
          <w:b w:val="false"/>
          <w:color w:val="000000"/>
          <w:sz w:val="20"/>
        </w:rPr>
        <w:t>Modular product architecture allows customers to tailor infrastructure layouts, power density and cooling configurations using standardized components that can be prefabricated, factory-assembled and, in many cases, delivered with integrated power content, shortening installation timelines and shifting labor from the field to controlled manufacturing environments.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Accelerate innovation through integrated feedback loops.</w:t>
      </w:r>
      <w:r>
        <w:rPr>
          <w:color w:val="000000"/>
        </w:rPr>
        <w:t xml:space="preserve"> </w:t>
      </w:r>
      <w:r>
        <w:rPr>
          <w:rFonts w:ascii="Times New Roman;serif" w:hAnsi="Times New Roman;serif"/>
          <w:b w:val="false"/>
          <w:color w:val="000000"/>
          <w:sz w:val="20"/>
        </w:rPr>
        <w:t>Close coordination between engineering, manufacturing, field teams, customers and end users allows us to incorporate lessons learned, improve designs and introduce enhancements more efficiently than models that depend on third parties. We believe our platform enables us to translate internally developed and acquired capabilities into commercial product offerings on a compressed timeline, supporting customer responsiveness and expanding our addressable opportunity set.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Scaled U.S. Manufacturing Capabilities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operations are purpose-built for hyperscale customers that require speed, flexibility and scale that most legacy manufacturers are not well suited to serve.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with capital expenditures remaining below 3% of revenue for the year ended December 31, 2025. We continue to add capacity on a regular cadence to stay ahead of customer demand, supporting lead times that we believe compare favorably to industry norms across our principal product offerings. We complement this footprint with ongoing investments in training, safety, workforce quality, robotics and automation. We believe our manufacturing scale and operating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accelerated customer build schedules.</w:t>
      </w:r>
      <w:r>
        <w:rPr>
          <w:color w:val="000000"/>
        </w:rPr>
        <w:t xml:space="preserve"> </w:t>
      </w:r>
      <w:r>
        <w:rPr>
          <w:rFonts w:ascii="Times New Roman;serif" w:hAnsi="Times New Roman;serif"/>
          <w:b w:val="false"/>
          <w:color w:val="000000"/>
          <w:sz w:val="20"/>
        </w:rPr>
        <w:t>Our domestic manufacturing base reduces reliance on third-party, offshore manufacturing capacity and helps us align production with customer timelines.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throughput while maintaining flexibility.</w:t>
      </w:r>
      <w:r>
        <w:rPr>
          <w:color w:val="000000"/>
        </w:rPr>
        <w:t xml:space="preserve"> </w:t>
      </w:r>
      <w:r>
        <w:rPr>
          <w:rFonts w:ascii="Times New Roman;serif" w:hAnsi="Times New Roman;serif"/>
          <w:b w:val="false"/>
          <w:color w:val="000000"/>
          <w:sz w:val="20"/>
        </w:rPr>
        <w:t>Our manufacturing operations are intended to support scalable production across multiple product lines, including the ability to add capacity and adjust production mix in response to customer demand and evolving product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Leverage the Accelevation Academy to develop skilled labor.</w:t>
      </w:r>
      <w:r>
        <w:rPr>
          <w:color w:val="000000"/>
        </w:rPr>
        <w:t xml:space="preserve"> </w:t>
      </w:r>
      <w:r>
        <w:rPr>
          <w:rFonts w:ascii="Times New Roman;serif" w:hAnsi="Times New Roman;serif"/>
          <w:b w:val="false"/>
          <w:color w:val="000000"/>
          <w:sz w:val="20"/>
        </w:rPr>
        <w:t>Launched in early 2026, the Accelevation Academy is a structured, paid, in-house training program focused on building skills across welding, manufacturing, field installation and electrical. The creation of the Accelevation Academy represents a fundamental commitment to both our people and our communities and helps ensure that we are creating the skilled-trade workforce needed to support our future growth.</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a skilled, safety-oriented workforce.</w:t>
      </w:r>
      <w:r>
        <w:rPr>
          <w:color w:val="000000"/>
        </w:rPr>
        <w:t xml:space="preserve"> </w:t>
      </w:r>
      <w:r>
        <w:rPr>
          <w:rFonts w:ascii="Times New Roman;serif" w:hAnsi="Times New Roman;serif"/>
          <w:b w:val="false"/>
          <w:color w:val="000000"/>
          <w:sz w:val="20"/>
        </w:rPr>
        <w:t xml:space="preserve">We support our labor force through above-market compensation, incentive structures, meaningful internal training investment and a safety-focused culture, which we believe strengthens execution and supports efficient scaling. We currently have more than 800 field services employees, compared with approximately 140 at year-end 2024. Electricians represented approximately 46% of our field service workforce as of June 30, 2026. </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Shift labor from field to factory through prefabrication.</w:t>
      </w:r>
      <w:r>
        <w:rPr>
          <w:color w:val="000000"/>
        </w:rPr>
        <w:t xml:space="preserve"> </w:t>
      </w:r>
      <w:r>
        <w:rPr>
          <w:rFonts w:ascii="Times New Roman;serif" w:hAnsi="Times New Roman;serif"/>
          <w:b w:val="false"/>
          <w:color w:val="000000"/>
          <w:sz w:val="20"/>
        </w:rPr>
        <w:t>Greater use of factory-built assemblies increases quality control, reduces on-site labor requirements, improves safety, lowers field-labor cost exposure and supports more predictable delivery and installation outcomes.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Growing Share of Power Products and New Product Introductions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expanded our Power Products portfolio as part of a strategy to deepen our leadership in white space power distribution and selectively expand into broader upstream power distribution categories. We believe this can increase revenue per project, expand scope per megawatt, improve margin capture and embed us earlier in the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design and specification cycle. Speed is critical in this category, particularly as customers face long lead times and increasing power complexity in AI-oriented deployments. We believe our power strategy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customer spend and expand our influence in the design cycle.</w:t>
      </w:r>
      <w:r>
        <w:rPr>
          <w:color w:val="000000"/>
        </w:rPr>
        <w:t xml:space="preserve"> </w:t>
      </w:r>
      <w:r>
        <w:rPr>
          <w:rFonts w:ascii="Times New Roman;serif" w:hAnsi="Times New Roman;serif"/>
          <w:b w:val="false"/>
          <w:color w:val="000000"/>
          <w:sz w:val="20"/>
        </w:rPr>
        <w:t>Power Products expand our scope in customer deployments, can pull us earlier into specification decisions, increase planning and revenue visibility and provide opportunities to deliver broader integrated solutions alongside modular infrastructure, installation and start-up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Offer differentiated products for high-density environments.</w:t>
      </w:r>
      <w:r>
        <w:rPr>
          <w:color w:val="000000"/>
        </w:rPr>
        <w:t xml:space="preserve"> </w:t>
      </w:r>
      <w:r>
        <w:rPr>
          <w:rFonts w:ascii="Times New Roman;serif" w:hAnsi="Times New Roman;serif"/>
          <w:b w:val="false"/>
          <w:color w:val="000000"/>
          <w:sz w:val="20"/>
        </w:rPr>
        <w:t>Our current Power Products portfolio is anchored by high density compact electrical distribution: RPP platforms and branch circuit whips, with adjacent upstream offerings such as PDUs and low voltage distribution panels being commercialized over time. Our Core RPP is a modular electrical distribution solution with current ratings from 225 to 800 amps. Our High Density RPP is engineered for standard and AI-oriented rack densities and delivers 1,200 amps of distribution capacity in a compact footprint. It is engineered with a top-mounted connection interface that accepts our custom-sized branch circuit whips through a single mating motion, eliminating field-built terminations. Many of these products can be integrated into modular assemblies or otherwise configured for rapid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flexible and technically advanced solutions.</w:t>
      </w:r>
      <w:r>
        <w:rPr>
          <w:color w:val="000000"/>
        </w:rPr>
        <w:t xml:space="preserve"> </w:t>
      </w:r>
      <w:r>
        <w:rPr>
          <w:rFonts w:ascii="Times New Roman;serif" w:hAnsi="Times New Roman;serif"/>
          <w:b w:val="false"/>
          <w:color w:val="000000"/>
          <w:sz w:val="20"/>
        </w:rPr>
        <w:t>Our High Density RPP is UL-listed and pre-tested and features a universal panel adapter that accepts breakers from major manufacturers, supporting supply-chain flexibility and shorter lead times. Our branch circuit whips are UL-listed, pre-tested and custom assembled to project-specific length, wire gauge, conduit size and labeling specifications to facilitate faster field identification and installation. Our branch circuit whips generated approximately $71.0 million of revenue in 2025.</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upstream beginning in 2026+ into adjacent, higher-value offerings.</w:t>
      </w:r>
      <w:r>
        <w:rPr>
          <w:color w:val="000000"/>
        </w:rPr>
        <w:t xml:space="preserve"> </w:t>
      </w:r>
      <w:r>
        <w:rPr>
          <w:rFonts w:ascii="Times New Roman;serif" w:hAnsi="Times New Roman;serif"/>
          <w:b w:val="false"/>
          <w:color w:val="000000"/>
          <w:sz w:val="20"/>
        </w:rPr>
        <w:t>Our roadmap begins with downstream white space power content and extends selectively upstream into adjacent higher-amperage distribution categories. We believe this progression can position us earlier in customer design cycles, increase dollar content per megawatt and create pull-through opportunities for the broader power portfolio.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Improve lead times and project control through internal fabrication and sourcing.</w:t>
      </w:r>
      <w:r>
        <w:rPr>
          <w:color w:val="000000"/>
        </w:rPr>
        <w:t xml:space="preserve"> </w:t>
      </w:r>
      <w:r>
        <w:rPr>
          <w:rFonts w:ascii="Times New Roman;serif" w:hAnsi="Times New Roman;serif"/>
          <w:b w:val="false"/>
          <w:color w:val="000000"/>
          <w:sz w:val="20"/>
        </w:rPr>
        <w:t>We internally fabricate a growing share of components and assemblies that are often externally sourced and have invested meaningfully in vertical integration, which enhances quality control, delivery speed, supply-chain resilience and coordination across projects.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Challenges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industry are subject to a range of significant challenges and risks that can materially affect our business, financial condition and results of operations. Although we operate in a large and rapidly expanding market, a substantial portion of our revenue is derived from a relatively small number of large-scale hyperscale and colocation data center customers. This concentration makes us particularly sensitive to changes in the pace and scale of our customers’ data center construction and capital expenditure programs. In addition, the increasing scale and technological complexity of hyperscale developments presents ongoing development, management and execution challenges to keep pace with our customers as they continue to scale alongside the rapid growth in their industry.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challenges from intense and increasing competition from larger and highly capitalized data center infrastructure providers, as well as smaller, regional and niche specialists, and we may be unable to compete effectively on speed-to-capacity, on-time delivery, customization, integration and price. The increasing complexity of our business and the solutions we offer as we continue to scale rapidly presents ongoing challenges, including difficulties integrating acquisitions with our current operations, hiring and maintaining sufficient numbers of employees and keeping pace with technological advancements in our industry. Rapid scaling of our operations requires significant investment in workforce development, operating infrastructure and cross-functional coordination, and any failures in these areas could increase our costs and materially adversely affect our financial results. Our business is also exposed to broader economic and geopolitical uncertainties, including changes in demand for data center infrastructure and related products, tighter financing conditions, supply chain challenges and inflationary pressures affecting the price and availability of raw materials essential to our operations.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number of these challenges, and others, could have a negative impact on our business, financial condition and results of operations. For a discussion of the challenges, risks and limitations that could harm our business and prospects, see “Forward-Looking Statements,” “Risk Factors” and “Management’s Discussion and Analysis of Financial Condition and Results of Operations” included elsewhere in this prospectus.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Indebtedness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invest in capacity, workforce and product development to support growth in our product offerings and business, we have incurred indebtedness for purposes of working capital and capital expenditures, and may incur additional indebtedness in the future. As of June 30, 2026, our total outstanding borrowings consisted of approximately $651.5 million under our Term Loan Facility and no outstanding borrowings under our Revolving Credit Facility. As of June 30, 2026, the weighted average interest rate on borrowings under our Term Loan Facility and amounts drawn under our Revolving Credit Facility was approximately 8.772%.</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Most recently, on June 25, 2026, we entered into the Fourth Amendment to the Credit Agreement, providing for $346.0 million of incremental term loans and $10.0 million of additional delayed draw term loan commitments, the proceeds of which were used primarily to fund a distribution to certain members and to pay related transaction expenses. We intend to use a portion of the net proceeds from this offering to repay approximately $             million of outstanding borrowings under our Credit Agreement. All obligations under the Credit Agreement are guaranteed by Accelevation Intermediate LLC, Accelevation Buyer LLC, and certain other parent guarantors, as well as certain of Holdings LLC’s existing and future direct and indirect wholly owned domestic subsidiaries, and are secured by first-priority security interests in substantially all of Holdings LLC’s and the guarantors’ assets. The Credit Agreement also includes customary representations and warranties, affirmative covenants and negative covenants that could restrict Holdings LLC’s ability to take certain actions, subject to certain exceptions set forth in the Credit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relied on debt financing to fund certain of our operations, capacity expansion and growth, and may continue to rely on such financing in the future. For a discussion of the risks associated with our indebtedness, see “Risk Factors—Financial and Tax Risks—Our indebtedness and financing needs could limit our operational flexibility and increase our vulnerability to adverse business conditions” and “Description of Certain Indebtedness” included elsewhere in this prospectus.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Growth Strategies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developed the following strategies to continue to grow our revenues and improve our profitability: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Expand Infrastructure Solutions Through Modular and Prefabricated Delivery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modularization and prefabrication are among the clearest ways to help customers accelerate deployment in the latter stages of data center development. Our strategy is to expand our modular solutions offering, led by SkyBridge and customer-specific modular systems, and use factory assembly to win new programs and larger scopes where speed, safety, labor availability and schedule certainty are prioritized. Unlike modularity outside the building shell, which is more established, our focus is on applying modularity inside the data hall white space. Key elements of this strategy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throughput of modular assemblies and related prefabricated infrastructure across our manufacturing lines;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shifting additional work from the field to the factory, including power and thermal content where feasible;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repeatable modular designs and customer-specific variants to support multi-site rollouts, remote locations and faster deployment across hyperscale programs.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Deepen White Space Power Distribution Leadership and Expand Upstream to Capture Long Lead Time Demand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central element of our growth strategy is to deepen our position in white space power while expanding selectively upstream into broader distribution categories. We believe this can increase wallet share, improve mix,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serve markets characterized by long lead times and rising technical requirements and embed us earlier in design and specification cycles.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leadership in high-density, AI-optimized RPPs, branch circuit whips and DC-capable RPPs;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commercializing PDUs and other adjacent higher-amperage distribution offerings over time, without losing focus on our current white space power opportunity;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using internal fabrication, sourcing and modular integration to improve speed, quality control and delivery performance;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Power Products with Infrastructure Solutions to deepen customer entrenchment and expand lifecycle service opportunities.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Leverage Power Products Platform into Adjacent End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expanding Power Products platform is creating opportunities to serve select applications in the broader commercial, industrial, government, grid, solar and institutional electrical infrastructure market. Our approach to this opportunity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 on our in-house Power Products capabilities, including RPPs, PDUs and related upstream distribution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existing manufacturing, engineering and supply-chain infrastructure to address customer needs in adjacent markets;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pursue any such expansion in a disciplined manner while maintaining our primary focus on supporting data center customers.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Thermal and Liquid Cooling-Ready Capabilities to Increase Scope and Content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liquid-cooled architectures in high-density, AI-oriented data centers is increasing the importance of coordinated thermal infrastructure within the white space. Our thermal capabilities have historically focused on airflow and containment, but we expect customer demand to move increasingly toward liquid cooling-ready solutions. Certain thermal products may be sold on a standalone basis, but a significant portion of our thermal content is integrated into our factory-built modular infrastructure solutions. We believe this can increase content per deployment, improve coordination across design and installation and position us to capture a greater share of cooling-related scope.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thermal products from airflow and containment toward liquid cooling-ready solutions and adjacent thermal categories;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thermal management features, monitoring components and sensors into SkyBridge and other prefabricated modular systems to enable factory-built, high-density deployments;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installation, testing, commissioning support, inspection and modification capabilities for thermal systems as part of our services offering;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supporting higher-density deployments by delivering integrated solutions across power, thermal management and structural infrastructure.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Deepen Relationships and Increase Wallet Share with Hyperscalers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growth opportunities exist within our existing customer base as hyperscalers and other large data center customers expand footprint, increase power density and replicate deployment patterns across multiple sites. Many of these customers historically work with much larger suppliers, and we believe our ability to serve them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demonstrates the differentiation of our speed, customization and execution model. Our strategy is to increase the number and type of products and services we provide to each customer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scope across Infrastructure Solutions and Power Products, particularly through modular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increasing average project size by delivering more integrated solutions under a single contract;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engaging early in white space planning and fit-out design, often 12 months before larger campus go-live dates, to improve constructability, embed our solutions in specifications and support repeat business across additional sites and regions.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Capacity, Workforce and Execution Throughput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expanding manufacturing capacity, labor quality, automation and execution throughput to support accelerating hyperscale and AI-driven demand.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adding production capacity and operational infrastructure to support increased project volume, complexity and geographic reach while leveraging available capacity and maintaining a capital-light expansion model;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investing in training, safety, above-market compensation, incentives and workforce development to scale execution quality as we grow;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flexibility to adjust production mix and deploy field resources without compromising schedule, quality or margin discipline;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continuing to shift appropriate work from the field to controlled manufacturing environments through prefabrication and modular assembly;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deploying robotics, automation and welding process improvements to increase throughput, reduce labor constraints and improve lead times.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Services and Lifecycle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services represent an opportunity to increase the durability and profitability of our revenue base while strengthening customer relationships. In addition to installation, electrical fit-out and low-voltage services, we are building capabilities to install, start up, inspect, service, repair and reconfigure our products and related systems over time.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service offerings associated with the full lifecycle of the data hall and our Power Products, including installation, start-up, testing, commissioning support, regular inspection, maintenance, failed-equipment replacement, ongoing modifications and reconfigurations;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penetration of services sold as part of Infrastructure Solutions and alongside Power Products to provide customers with a unified scope and clearer accountability;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building additional field and support capabilities to expand responsiveness and capacity for repeat work, including lifecycle services on RPPs and other Power Products.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Retrofit, Upgrade and Reconfiguration Solutions for Existing Data Centers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total base of data center capacity increases, this directly leads to long-term replacement/refresh spending. As customers increase compute density, adopt new architectures and reconfigure existing footprints, this drives changes to the needs of the white space infrastructure and power distribution. Retrofit opportunities could involve revenue scope similar to portions of the initial build where new architectures require substantial changes. Our strategy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support customers as they increase power density, change server architectures and modify white space layouts to accommodate next-generation workloads;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single-source model to reduce downtime risk and execution complexity during live-environment upgrades;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offer and sell long-term maintenance contracts to existing and new campus builds.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Pursue Selective, Capability-Driven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our platform strategy, we may selectively pursue acquisitions that add technical capabilities, manufacturing capacity, intellectual property, talent or product content that can be commercialized through our existing platform. We view acquisition as a supporting tool rather than a primary growth strategy and generally prefer to build capabilities organically when doing so can meet customer timelines. Our approach is expected to focus on opportunities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 complementary capabilities, product foundations or technical expertise and accelerate time-to-market for new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enhance technical, engineering or execution expertise in priority adjacencies;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can be integrated in a disciplined manner without diverting focus from organic growth, customer execution and our current white space opportunity.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maintain capital discipline and a measured pace as we evaluate any such opportunities.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Explore Selective International Expansion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our primary focus remains on the North American data center infrastructure market, international data center construction will continue to expand over the long term. We may pursue selective international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prioritizing regions with strong hyperscale demand and deployment characteristics similar to the United States;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our existing design, manufacturing and installation capabilities to support customers with global requirements.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Sales and Marketing Strategy</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on-the-ground sales and marketing strategy that is built around dedicated customer pods that allocate our integrated commercial, engineering and program-management resources to key accounts. Our strategy is focused on end markets and direct customer engagement rather than selling through a third-party network. Our sales organization includes 16 account professionals that drive customer development and engagement. Our account professionals are organized by customer pods, and we allocate resources from our technical teams to facilitate early customer engagement and fit-out cycles. We believe our direct-to-customer sales approach supports our strong customer relationships and drives new sales, faster responses to design changes and overall customer satisfaction, while maintaining a lean sales team and lower marketing costs.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consist of hyperscale, colocation and other large-scale data center customers with whom we partner directly in the design, manufacturing and installation of integrated white space solutions. We maintain master supply agreements and preferred supplier relationships with leading hyperscale and cloud customers, with our solutions incorporated into approved specifications and basis-of-design standards for certain programs. We believe our customers value our vertically integrated platform, which combines the design, manufacture and installation of data center infrastructure under a single provider while maintaining the flexibility to quickly customize solutions to the precise specifications and needs of any given project. No single customer represented more than 45% of our revenue for the year ended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Manufacturing and Facilities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beginning of 2025, we have significantly expanded our manufacturing footprint. We operate seven manufacturing facilities located in Ohio, Tennessee, Mississippi and Virginia providing approximately 1.1 million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square feet of manufacturing space, plus additional warehouse capacity, compared to less than 170,000 square feet of manufacturing space at the beginning of 2025. We own our manufacturing facility located in Memphis, Tennessee and lease all of our other manufacturing locations. Generally, our lease agreements span five to ten year terms, and certain lease agreements may include one or more options to extend or terminate a lease. We believe our existing campuses are in good condition and are sufficient and suitable for the conduct of our business for the foreseeable future. To the extent our needs change as our business grows, we expect that additional space and campuses will be available.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capacity varies based on the mix of offerings we manufacture, the number of shifts we operate, the level of automation we employ and the square footage available for our production process. We believe our recent investments to expand our manufacturing capacity enable us to support faster lead times, larger order quantities, accelerated build schedules and increased customization. </w:t>
      </w:r>
    </w:p>
    <w:p>
      <w:pPr>
        <w:pStyle w:val="TextBody"/>
        <w:bidi w:val="0"/>
        <w:spacing w:lineRule="auto" w:line="268" w:before="160" w:after="283"/>
        <w:ind w:left="0" w:right="0" w:firstLine="360"/>
        <w:jc w:val="both"/>
        <w:rPr/>
      </w:pPr>
      <w:r>
        <w:rPr>
          <w:rFonts w:ascii="Times New Roman;serif" w:hAnsi="Times New Roman;serif"/>
          <w:b w:val="false"/>
          <w:color w:val="000000"/>
          <w:sz w:val="20"/>
        </w:rPr>
        <w:t>We plan to continue expanding our manufacturing capacity to support accelerating hyperscale demand. This includes our “Third Flight” expansion in Miamisburg, Ohio, which is expected to provide approximately 286,000 additional square feet of manufacturing space and become operational in 2027. We are also investing in advanced manufacturing technologies, including the deployment of two robotic welding systems designed to increase throughput and allow skilled welders to focus on more complex, higher-value work. In support of our goal to continue growth, we are expanding our corporate headquarters, known as “The Pike,” which is expected to increase office capacity by approximately 100 employees, and we are continuing to invest in workforce development through Accelevation Academy, which is our internal training program focused on developing electrical, manufacturing and welding talent. We believe our continued investments in manufacturing capacity, automation, workforce development and infrastructure strengthen our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operating model and enhance our ability to meet customer timelines and specifications.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vertically integrated manufacturing process typically begins with early engagement between our design and engineering teams and white space designers, where our teams create detailed future-state program designs based on customer technical requirements and space specifications. Once a customer approves the design, we move into the manufacturing stage, including internal fabrication of components, factory assembly of modular systems, welding, painting and powder coating, testing, quality control and customer witness testing. We leverage our engineering-first approach to align our solutions to precise customer specifications while remaining capable of accommodating design changes throughout the manufacturing process. Our design-to-install workflow includes field installation of integrated solutions that support drop-in deployment of assembled modular systems. We maintain a rigorous quality assurance program that includes product qualification testing to applicable UL and Electrical Testing Laboratories standards and comprehensive Factory Acceptance Testing (“FAT”) for every unit prior to shipment. FAT includes mechanical and electrical inspections to verify compliance with approved engineering drawings, customer specifications and applicable industry standards, and each product is supported by a certified test report to document compliance and performance. A core strength of our manufacturing process is our vertically integrated model and direct sourcing of readily available raw materials, including steel, aluminum, copper, electrical components, polycarbonate and fuel. Our vertically integrated manufacturing capabilities and readily available raw material sourcing enable us, in certain cases, to ship a new module as quickly as 24 hours from the receipt of raw materials, reflecting the speed and flexibility of our manufacturing platform.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campuses are designed to be highly flexible and have the capability to rapidly change what products they make as well as increase or decrease their production volume with minimal disruption to our operations. The flexibility and scalability of our manufacturing operations are reinforced by modern manufacturing methods and tech-enablement, including:</w:t>
      </w:r>
    </w:p>
    <w:p>
      <w:pPr>
        <w:pStyle w:val="TextBody"/>
        <w:bidi w:val="0"/>
        <w:spacing w:lineRule="auto" w:line="268" w:before="160" w:after="283"/>
        <w:ind w:left="0" w:right="0" w:hanging="360"/>
        <w:jc w:val="both"/>
        <w:rPr/>
      </w:pPr>
      <w:r>
        <w:rPr>
          <w:color w:val="000000"/>
        </w:rPr>
        <w:t>•</w:t>
      </w:r>
      <w:r>
        <w:rPr>
          <w:rFonts w:ascii="Times New Roman;serif" w:hAnsi="Times New Roman;serif"/>
          <w:b/>
          <w:color w:val="000000"/>
          <w:sz w:val="20"/>
        </w:rPr>
        <w:t>Robotics and Automated Welding.</w:t>
      </w:r>
      <w:r>
        <w:rPr>
          <w:color w:val="000000"/>
        </w:rPr>
        <w:t xml:space="preserve"> </w:t>
      </w:r>
      <w:r>
        <w:rPr>
          <w:rFonts w:ascii="Times New Roman;serif" w:hAnsi="Times New Roman;serif"/>
          <w:b w:val="false"/>
          <w:color w:val="000000"/>
          <w:sz w:val="20"/>
        </w:rPr>
        <w:t>Deployment of robotics, automation and welding process improvements to increase throughput, reduce labor constraints and improve lead times across production 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Modular and Prefabricated Assembly.</w:t>
      </w:r>
      <w:r>
        <w:rPr>
          <w:color w:val="000000"/>
        </w:rPr>
        <w:t xml:space="preserve"> </w:t>
      </w:r>
      <w:r>
        <w:rPr>
          <w:rFonts w:ascii="Times New Roman;serif" w:hAnsi="Times New Roman;serif"/>
          <w:b w:val="false"/>
          <w:color w:val="000000"/>
          <w:sz w:val="20"/>
        </w:rPr>
        <w:t>Factory-built modular assembly lines that shift substantial portions of traditional fieldwork into controlled manufacturing environments, enabling coordinated drop-in deployment and reducing on-site installation time.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Internal Component Fabrication</w:t>
      </w:r>
      <w:r>
        <w:rPr>
          <w:rFonts w:ascii="Times New Roman;serif" w:hAnsi="Times New Roman;serif"/>
          <w:b w:val="false"/>
          <w:color w:val="000000"/>
          <w:sz w:val="20"/>
        </w:rPr>
        <w:t>. In-house fabrication of key sub-assemblies and components (including TechFrame steel structures, SkyBridge modular platforms, RPPs and branch circuit whips) that are often externally sourced by competitors, supporting shorter lead times, quality control and coordination.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Flexible, Multi-Product Production Lines.</w:t>
      </w:r>
      <w:r>
        <w:rPr>
          <w:color w:val="000000"/>
        </w:rPr>
        <w:t xml:space="preserve"> </w:t>
      </w:r>
      <w:r>
        <w:rPr>
          <w:rFonts w:ascii="Times New Roman;serif" w:hAnsi="Times New Roman;serif"/>
          <w:b w:val="false"/>
          <w:color w:val="000000"/>
          <w:sz w:val="20"/>
        </w:rPr>
        <w:t>Purpose-built production lines designed to support scalable production across multiple product lines, with the ability to add capacity and adjust production mix in response to customer demand and evolving product requirements without compromising customer delivery timelines or customization capabilities.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Workforce Development and Training (Accelevation Academy).</w:t>
      </w:r>
      <w:r>
        <w:rPr>
          <w:color w:val="000000"/>
        </w:rPr>
        <w:t xml:space="preserve"> </w:t>
      </w:r>
      <w:r>
        <w:rPr>
          <w:rFonts w:ascii="Times New Roman;serif" w:hAnsi="Times New Roman;serif"/>
          <w:b w:val="false"/>
          <w:color w:val="000000"/>
          <w:sz w:val="20"/>
        </w:rPr>
        <w:t>A structured, paid in-house training program focused on building skills across welding, manufacturing and field installation to expand our skilled labor pool and support execution quality at scale.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 xml:space="preserve">Capital-Light Expansion Model. </w:t>
      </w:r>
      <w:r>
        <w:rPr>
          <w:rFonts w:ascii="Times New Roman;serif" w:hAnsi="Times New Roman;serif"/>
          <w:b w:val="false"/>
          <w:color w:val="000000"/>
          <w:sz w:val="20"/>
        </w:rPr>
        <w:t>Rapid expansion of our manufacturing footprint with capital expenditures remaining below 3% of revenue for the year ended December 31, 2025, purpose-built to support the specific needs of our current and prospective customers.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Suppliers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materials and components we use in our products include steel, aluminum, copper, electrical components, polycarbonate and fuel. We generally source our key materials and components from a broad network of domestic suppliers. However, we rely on a single supplier for certain doors used in our products.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typically do not enter into long-term contracts with our suppliers or sourcing partners. Instead, most raw materials and sourced goods are obtained on a “purchase order” basis; however, we may also fix prices with our suppliers for certain raw materials at the beginning of each year to reduce our exposure to changes in the price of those materials during the year. In addition, certain of the materials we use, such as copper, electrical steel, carbon steel, aluminum and insulation are commodities subject to market price fluctuations, which can be substantial. To reduce our exposure to changes in the prices of these commodities, we incorporate current pricing into our customer quotes, provide quotes that are only valid for a limited period of time and incorporate into certain of our customer contracts provisions that adjust the final price of the product based on changes in key raw material input costs between the date of quotation and the date of shipment.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Business and Industry—Our supply chain strategy depends on both internal fabrication and third-party sources; shortages, quality issues, price increases, transportation disruptions or government trade actions affecting raw materials and components could harm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research and development primarily in connection with customer projects, where our engineering teams design and develop customized data center infrastructure solutions tailored to specific customer and site requirements. We also invest in the development and enhancement of our power infrastructure products and modular infrastructure platforms to support increasing power density, scalability and deployment speed across next-generation data center environments.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more than 50 engineers and technical designers who focus on product development and custom design. Our engineering team uses commercially available software tools, including SolidWorks, AutoCAD, Onshape, Bluebeam and Navisworks, together with advanced CAD/CAM systems, parametric design tools and digital engineering workflows, to design new products and customer-specific configurations. To develop new products and solutions, we leverage our sophisticated design and engineering teams with our library of reference designs that span across our principal offerings.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Rather than maintain a traditional, centralized research and development function, our design and engineering, manufacturing and field execution teams collaborate to identify high-value opportunities to improve existing products, develop new offerings and refine our design, manufacture and installation processes.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on our ability to maintain and protect our proprietary technologies, information, processes and know-how. We rely primarily on trademark, copyright and trade secret laws in the United States, confidentiality agreements and procedures and other contractual arrangements to protect our technology. Data center white space infrastructure is rapidly evolving and requires ongoing attention to the protection of proprietary designs, industry and technical know-how and trade secrets. As of June 30, 2026, we had 5 U.S. trademark registrations and 26 domain name registrations, all of which are related to U.S. applications.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trade secret protection and confidentiality agreements to safeguard our interests with respect to proprietary know-how that is not patentable and processes for which patents are difficult to enforce. We believe many elements of our manufacturing processes involve proprietary know-how, technology or data that are not covered by patents or patent applications, including technical processes and manufacturing and fabrication procedures. Our policy is for our employees to enter into confidentiality and proprietary information agreements with us to address intellectual property protection issues, and we require our employees to assign to us all of the inventions, designs and technologies they develop during the course of, and within the scope of, their employment with us.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Business and Industry—We may need to defend ourselves against third-party claims that we are infringing, misappropriating or otherwise violating others’ intellectual property or other proprietary rights, which could divert management’s attention, cause us to incur significant costs and prevent us from selling or using the technology to which such rights relate.”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As of June 2026, we had approximately 1,716 full-time employees, including approximately 800 field services employees and approximately 745 manufacturing employees.</w:t>
      </w:r>
      <w:r>
        <w:rPr>
          <w:color w:val="000000"/>
        </w:rPr>
        <w:t xml:space="preserve"> </w:t>
      </w:r>
      <w:r>
        <w:rPr>
          <w:rFonts w:ascii="Times New Roman;serif" w:hAnsi="Times New Roman;serif"/>
          <w:b w:val="false"/>
          <w:color w:val="000000"/>
          <w:sz w:val="20"/>
        </w:rPr>
        <w:t>Our workforce is primarily based in North America and supports our manufacturing, field services, engineering, commercial and corporate functions. Approximately 45% of our employees support field services activities, approximately 45% support manufacturing operations and the remaining 10% support engineering, sales and marketing, customer service and general and administrative functions. We believe our workforce represents a competitive advantage and we prioritize attracting, developing and retaining skilled talent through internal training academies, apprenticeship-style programs and on-the-job development opportunities. We seek to promote from within whenever possible while selectively recruiting experienced talent to expand our capabilities. We have not experienced any material labor disruptions or work stoppages.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Competition and Peer Group</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design, manufacture and install mission-critical power and thermal infrastructure, with our operations and revenue today concentrated in the data center market. Due to the nature of our offerings and the rapidly developing power distribution and white space infrastructure markets we serve, our competition can vary from similarly sized or larger national and multinational data infrastructure companies to smaller, regional and niche competitors. Larger competitors generally can offer broad offering portfolios and manufacturing capacity, but tend to emphasize standardized, mass-produced offerings with limitations on customization and integrated solutions. Smaller competitors typically operate with narrower breadth of offerings and limited manufacturing capacity and field installation and distribution capabilities.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data center white space infrastructure market, we compete with large-scale, global data center infrastructure companies and specialized white space infrastructure providers, including Vertiv Holdings Co (“Vertiv”), Schneider Electric, Eaton Corporation plc (“Eaton”) and Tate. In the broader data center power distribution market, we compete with critical power and electrical distribution equipment providers, including Vertiv, Schneider Electric, Eaton/PDI and Legrand/Starline, particularly as we expand our portfolio from white space power distribution products into gray space power products, such as PDUs, automatic transfer switches and switchboards. Additionally, we compete with a number of smaller regional companies and niche product specialists across certain of the product categories that we serve.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compete with, and may be compared by investors to, a range of publicly traded companies. For purposes of the comparisons discussed in this prospectus, we consider Vertiv to be the company whose business most closely resembles our own, together with a broader group consisting of Forgent Power Solutions Inc. (“Forgent”), nVent Electric plc (“nVent”), Eaton and GE Vernova Inc. (“GE Vernova” and, collectively with Vertiv, Forgent, nVent and Eaton, the “Comparable Companies”). We selected the Comparable Companies based on qualitative business characteristics rather than size, including the degree of similarity in mission-critical power and thermal infrastructure offerings; exposure to data center and related end markets; overlap in products and services, customer base and business model; and comparability of growth and margin characteristics.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Vertiv represents our closest comparable because its business is similarly focused on the design, manufacture and integration of mission-critical power and thermal infrastructure for data center and other high-</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availability environments, and because we believe it shares the greatest degree of overlap with us across product and service mix, end-market exposure, customer base, business model and financial profile.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the remaining Comparable Companies to be relevant but broader peers, each of which we believe overlaps with our business with respect to a particular attribute rather than across our business as a whole. We believe Forgent, nVent and Eaton are relevant peers principally on the basis of their power management and electrical infrastructure product offerings, which share characteristics with elements of our Power Products portfolio. We believe GE Vernova is a relevant peer principally because it is a publicly traded company that is exposed to many of the same secular demand drivers that we believe support the growth of our business, including growth in electricity demand and investment associated with the buildout of data centers and other power-intensive infrastructure, notwithstanding differences in the nature and scale of its products and operations relative to ours.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capacity to meet our customers’ specific specifications and customization requirements differentiates us from our competitors. Additionally, our early engagement strengthens our ability to deliver on customer needs for product development, specific buildout requirements and efficient execution across delivery timelines.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operations are subject to laws, regulations and standards. Our manufacturing processes and offerings are subject to various regulations, such as environmental, health and safety considerations, permitting, quality controls, product specifications, market-related policies and distribution regulations. Our ability to market, manufacture and install our integrated solutions depends upon our compliance with laws and regulations in each jurisdiction. Complying with these requirements can impose significant costs, especially in jurisdictions where we do not have a significant physical presence.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regulatory requirements including:</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Environmental Protection Agency (“EPA”) and Occupational Safety and Health Administration (“OSHA”) regulations, including the Spill Prevention, Control, and Countermeasure Regulation, requiring that the storage, handling, disposal and manifesting of chemicals adheres to specified procedures and is only performed by trained professionals with the correct personal protective equipment;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EPA’s stormwater regulations requiring environmental, health and safety training, policies and practices to limit discharges of pollutants to storm water drains;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obligations under the Resource Conservation and Recovery Act regarding the control, handling, labeling and disposal of chemicals and hazardous materials through trained members and professionals.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compliant with applicable EPA, OSHA, NEC, UL and other regulatory and industry requirements governing our products and operations. These laws and regulations are subject to change at any time. We make the necessary adjustments to our processes to maintain compliance with the regulatory environment, which could have an impact on various aspects of our business and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Environmental, Health and Safety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and manufacturing facilities are subject to federal, state and local laws and regulations relating to environmental protection, including laws and regulations governing air emissions, water discharges, waste management and workplace safety. We use and generate small quantities of hazardous waste, universal waste and non-regulated waste in our manufacturing operations, including in connection with metal fabrication, welding, powder coating, painting, assembly processes, warehousing and material transportation. As a result, we could be subject to potential liabilities relating to the investigation and clean-up of contaminated properties and to claims alleging personal injury. We are required to conform our operations and properties to these laws and adapt to regulatory requirements in all jurisdictions in which we operate as these requirements change. Additionally, in connection with our acquisitions, we may assume environmental liabilities, some of which we may not be aware of, or may not be quantifiable, at the time of acquisition.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comply in all material respects with environmental, health and safety laws and regulations. Although we do not believe the costs of compliance with these laws and regulations will be material to the business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or our operations, if new or revised standards are adopted, they may create additional liability, impact product design, manufacturing and/or servicing and negatively affect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maintaining compliance with environmental, health and safety laws and regulations, including providing and promoting a safe and healthy working environment. Safety is incorporated into our operations and we prioritize safeguarding our employees and contractors. Our health and safety policies and practices include employee involvement and feedback, new hire on-boarding training, Accelevation Academy, contractor management and safety training, other specialized training, such as DOT/RCRA, HAZWOPER, Confined Space Entry, First Aid/AED/CPR, Fall Protection, Powered Industrial Trucks and related training programs to regularly train, verify and encourage compliance with health and safety procedures and regulations.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Permits and Licenses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our existing permits and licenses are routinely renewed by various regulators, renewal could be denied or jeopardized by various factors, including the failure to comply with any relevant laws and regulations, the failure to comply with permit conditions, violations found during inspections or otherwise and community, political or other opposition. The regulatory environment relating to such permits, authorizations and approvals is uncertain and there can be no assurance that all permits, authorizations and/or approvals have been obtained and can be obtained in the future. These authorities can modify or revoke such permits and can enforce compliance with environmental laws, regulations and permits by issuing orders and assessing fines. We incur capital and operating costs to comply with such laws, regulations and permits and develop our processes and procedures to comply with applicable laws and regulations as they pertain to the various stages of our design, manufacture and installation model.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permitting requirements under environmental, health and safety laws and regulations applicable in the jurisdictions in which we operate. Those requirements obligate us to obtain permits from one or more governmental agencies in order to conduct our operations. These permits are typically issued by state agencies, but permits and approvals may also be required from federal or local governmental agencies. We believe we comply in all material respects with applicable laws and regulations, including those relating to environmental, health and safety, data privacy laws, cybersecurity laws, anti-bribery laws and whistleblower directives, and possess the permits required to operate our manufacturing and other facilities.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been and may be involved in litigation relating to claims arising out of our operations and businesses that cover a wide range of matters, including, among others, contract and employment claims, personal injury claims, product liability claims and warranty claims and intellectual property matters.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5"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ORGANIZATIONAL STRUCTURE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Holdings Corp. is a Delaware corporation formed to serve as a holding company that will hold an interest in Holdings LLC. Accelevation Holdings Corp. has not engaged in any business or other activities other than in connection with its formation and this offering. Upon consummation of this offering and the application of the net proceeds therefrom, we will be a holding company, our sole assets will be an equity interest in Holdings LLC and Instor, and we will operate and control all of the business and affairs and consolidate the financial results of Holdings LLC. Prior to the closing of this offering, the operating agreement of Holdings LLC will be amended and restated to, among other things, modify its capital structure by replacing the membership interests currently held by Holdings LLC’s existing owners with a new class of common ownership interests consisting of Series A Units and Series B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Investment Holdings and certain existing owners of Holdings LLC, as holders of all of the outstanding Series B Units of Holdings, will also enter into an Exchange Agreement under which Investment Holdings and such existing owners of Holdings LLC (and certain permitted transferees thereof) may (subject to the terms of the Exchange Agreement) exchange Series B Units of Holdings LLC for shares of our Class A common stock on a one-for-one basis, or, at our election, for cash, from a substantially concurrent public offering or private sale (based on the price of our Class A common stock in such public offering or private sale). A holder of Series B Units of Holdings LLC will also be required to deliver to us an equivalent number of shares of Class B common stock to effectuate an exchange. Any shares of Class B common stock so delivered will be cancelled. As holders of Series B Units of Holdings LLC exchange those Series B Units, our interest in Holdings LLC will be correspondingly increased.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our Principal Stockholder will control the voting power in Accelevation Holdings Corp. as follows: (i) approximately          % (or approximately          % if the underwriters exercise their option to purchase additional shares in full) through its control of Investment Holdings, which holds shares of Class B common stock, and (ii) approximately          % (or approximately          % if the underwriters exercise their option to purchase additional shares in full) through its control of Accelevation Pubco Holdings, which holds shares of Class A common stock. See “Principal and Selling Stockholders” for additional information about our Principal Stockholder.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Incorporation of Accelevation Holdings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Holdings Corp. was incorporated in Delaware on June 15, 2026, and has not engaged in any business or other activities except in connection with its formation and the offering. Our certificate of incorporation will be amended and restated at or prior to the consummation of this offering. Our amended and restated certificate of incorporation will authorize two classes of common stock, Class A common stock and Class B common stock, each having the terms described in “Description of Capital Stock.” In addition, our amended and restated certificate of incorporation will authorize shares of undesignated preferred stock, the rights, preferences and privileges of which may be designated from time to time by our Board.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our Class B common stock, which will not have any right to receive dividends or distributions upon the liquidation or winding up of Accelevation Holdings Corp, will be issued to Investment Holdings in connection with this offering. Each share of our Class B common stock entitles its holder to one vote on all matters to be voted on by stockholders generally. See “Description of Capital Stock—Class B Common Stock.” Holders of our Class A common stock and Class B common stock vote together as a single class on all matters presented to our stockholders for their vote or approval, except as otherwise required by applicable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Organizational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transactions, referred to collectively herein as the “Organizational Transactions,” will each be completed prior to or in connection with the completion of this offering.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6"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effectiveness of this Registration Statement, we will take the following 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LLC Operating Agreement to, among other things, (i) modify the capital structure of Holdings LLC by replacing the current membership interests with a new class of common membership interests consisting of LLC Units and (ii) appoint Accelevation Holdings Corp. as the sole managing member of Holdings LLC. See “Organizational Structure—Amended and Restated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Principal Stockholder and certain other holders of indirect interests in Holdings LLC will engage in a series of transactions, which may include one or more contributions, mergers or otherwise, that will result in (i) the formation of Accelevation Pubco Holdings and Investment Holdings, entities controlled by our Principal Stockholder, (ii) the dissolution of Olympus Holdings Aggregator and (iii) certain holders of an indirect interest in Holdings LLC exchanging a portion of such interest in Holdings LLC for a direct or indirect interest in Accelevation Pubco Holdings, which in turn will contribute such interests in Holdings LLC into Accelevation Holdings Corp. in exchange for shares of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certificate of incorporation of Accelevation Holdings Corp. to, among other things, provide for Class A common stock and Class B common stock. See “Description of Capital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issue shares of Class B common stock to Investment Holdings, on a one-to-one basis with the number of LLC Units it owns, for nominal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the Exchange Agreement pursuant to which Investment Holdings and certain existing owners of Holdings LLC (and certain permitted transferees thereof) will be entitled to exchange Series B Units of Holdings LLC,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See “—Exchange Agreement”;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the Tax Receivable Agreement with the TRA Rights Holders that will require the payment by Accelevation Holdings Corp. to such persons of collectively         % of certain tax savings (calculated using certain assumptions), if any, in U.S. federal, state and local income taxes we actually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See “—Tax Receivable Agreement” and “Certain Relationships and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issue                  shares of our Class A common stock to the investors in this offering (or                    shares if the underwriters exercise their option to purchase additional shares in full) in exchange for net proceeds of approximately $          million (or approximately $                     million if the underwriters exercise their option to purchase additional shares in full), after deducting underwriting discounts and commissions but before estimated offering expense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following the completion of this offering, we will take the following 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use the net proceeds of $            million from this offering to acquire              Series A Units of Holdings LLC (or              Series A Units if the underwriters exercise their option to purchase additional shares in full) at a purchase price per Series A Unit equal to the initial public offering price per share of Class A common stock in this offering, less underwriting discounts and commissions;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Holdings LLC intends to apply the proceeds it receives from us (including any additional proceeds it may receive from us if the underwriters exercise their option to purchase additional shares) (i) to repay approximately $           of outstanding borrowings under our Credit Agreement, under which we had approximately $651.5 million outstanding under the Term Loan Facility and no outstanding borrowings under the Revolving Credit Facility, and which each had a weighted average interest rate of 8.772% as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June 30, 2026,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investors in this offering will collectively own                    shares of our Class A common stock and we will hold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will own                    shares of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certain existing owners of Holdings LLC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will collectively represent approximately          % of the voting power in us;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B common stock will collectively represent approximately          % of the voting power in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8"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240"/>
        <w:jc w:val="center"/>
        <w:rPr/>
      </w:pPr>
      <w:r>
        <w:rPr/>
        <w:drawing>
          <wp:inline distT="0" distB="0" distL="0" distR="0">
            <wp:extent cx="3886200" cy="8229600"/>
            <wp:effectExtent l="0" t="0" r="0" b="0"/>
            <wp:docPr id="1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 descr=""/>
                    <pic:cNvPicPr>
                      <a:picLocks noChangeAspect="1" noChangeArrowheads="1"/>
                    </pic:cNvPicPr>
                  </pic:nvPicPr>
                  <pic:blipFill>
                    <a:blip r:embed="rId10"/>
                    <a:stretch>
                      <a:fillRect/>
                    </a:stretch>
                  </pic:blipFill>
                  <pic:spPr bwMode="auto">
                    <a:xfrm>
                      <a:off x="0" y="0"/>
                      <a:ext cx="3886200" cy="8229600"/>
                    </a:xfrm>
                    <a:prstGeom prst="rect">
                      <a:avLst/>
                    </a:prstGeom>
                  </pic:spPr>
                </pic:pic>
              </a:graphicData>
            </a:graphic>
          </wp:inline>
        </w:drawing>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0"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diagram below depicts our expected organizational structure immediately following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jc w:val="center"/>
        <w:rPr/>
      </w:pPr>
      <w:r>
        <w:rPr/>
        <w:drawing>
          <wp:inline distT="0" distB="0" distL="0" distR="0">
            <wp:extent cx="5943600" cy="5105400"/>
            <wp:effectExtent l="0" t="0" r="0" b="0"/>
            <wp:docPr id="1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 descr=""/>
                    <pic:cNvPicPr>
                      <a:picLocks noChangeAspect="1" noChangeArrowheads="1"/>
                    </pic:cNvPicPr>
                  </pic:nvPicPr>
                  <pic:blipFill>
                    <a:blip r:embed="rId11"/>
                    <a:stretch>
                      <a:fillRect/>
                    </a:stretch>
                  </pic:blipFill>
                  <pic:spPr bwMode="auto">
                    <a:xfrm>
                      <a:off x="0" y="0"/>
                      <a:ext cx="5943600" cy="5105400"/>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(1)Shares of Class A common stock and Class B common stock will vote as a single class. Each outstanding share of Class A common stock and Class B common stock will be entitled to one vote on all matters to be voted on by stockholders generally. The Class B common stock will not have any right to receive dividends or distributions upon the liquidation or winding up of Accelevation Holdings Corp. In accordance with the Exchange Agreement to be entered into in connection with the Organizational Transactions, Investment Holdings (and its permitted transferees) will be entitled to exchange its Series B Units of Holdings LLC, together with an equal number of shares of Class B common stock, for shares of Class A common stock determined in accordance with the Exchange Agreement or, at our election, for cash from a substantially concurrent public offering or private sale (based on the price of our Class A common stock in such public offering or private sale).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(2)Upon completion of this offering, the holders of Class A common stock, other than Accelevation Pubco Holdings, will have approximately          % of the voting power in Accelevation Holdings Corp. (or approximately           % if the underwriters exercise their option to purchase additional shares in full).</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(3)Upon completion of this offering, our Principal Stockholder will control the voting power in Accelevation Holdings Corp. as follows: (a) approximately          % (or approximately           % if the underwriters exercise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their option to purchase additional shares in full) through its control of Accelevation Pubco Holdings, which will hold shares of Class A common stock of Accelevation Holdings Corp., and (b) approximately          % (or approximately          % if the underwriters exercise their option to purchase additional shares in full) through its control of Investment Holdings, which will hold shares of Class B common stock of Accelevation Holdings Corp. and Series B Units of Holdings LLC.</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completion of this offering, (a) Investment Holdings will own approximately    % (or approximately                    % if the underwriters exercise their option to purchase additional shares in full) of the LLC Units and (b) Accelevation Holdings Corp. and Instor will own approximately      % (or approximately     % if the underwriters exercise their option to purchase additional shares in full) of the LLC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consummation of the Organizational Transactions, Accelevation Holdings Corp. will be a holding company and its sole assets will be its direct equity interest in Holdings LLC and Instor. As the sole managing member of Holdings LLC, Accelevation Holdings Corp. will operate and control all of the business and affairs of Holdings LLC and its subsidiaries. Accordingly, although Accelevation Holdings Corp. will initially own a minority economic interest in Holdings LLC following the consummation of this offering, Accelevation Holdings Corp. will have 100% of the voting power and will control management of Holdings LLC, subject to certain exceptions. The financial results of Holdings LLC and its consolidated subsidiaries will be consolidated in our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post-offering organizational structure will allow each owner of Holdings LLC, initially Accelevation Holdings Corp., Investment Holdings and certain existing owners of Holdings LLC, to retain its equity ownership in Holdings LLC, an entity that is classified as a partnership for United States federal income tax purposes, in the form of LLC Units. Investors in this offering will, by contrast, hold their equity ownership in Accelevation Holdings Corp., a Delaware corporation that is a domestic corporation for United States federal income tax purposes, in the form of shares of Class A common stock. We believe that the LLC Unitholders generally will find it advantageous to hold their equity interests in an entity that is not taxable as a corporation for United States federal income tax purposes. The LLC Unitholders, like Accelevation Holdings Corp., will be allocated their proportionate share of any taxable income of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Unitholders will also hold shares of our Class B common stock. Although these shares of Class B common stock have only voting and no economic rights, they will allow the LLC Unitholders to exercise voting power over Accelevation Holdings Corp., the sole managing member of Holdings LLC, at a level that is greater than their overall equity ownership of our business. Class B common stock is entitled to one vote per share. When the LLC Unitholders exchange Series B Units of Holdings LLC for shares of our Class A common stock or, at our election, for cash from a substantially concurrent public offering or private sale (based on the price of our Class A common stock in such public offering or private sale), pursuant to the Exchange Agreement described below, they will also be required to deliver an equivalent number of shares of Class B common stock. Any shares of Class B common stock so delivered will be cancelled.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Amended and Restated Operating Agreement of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amend and restate Holdings LLC’s existing operating agreement, which we refer to as the “LLC Operating Agreement.” The operations of Holdings LLC, and the rights and obligations of the LLC Unitholders, will be set forth in the LLC Operating Agreement. The LLC Operating Agreement will be filed as an exhibit to the registration statement of which this prospectus forms a part.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Sole Managing Member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this offering, we will become a member and the sole managing member of Holdings LLC. As the sole managing member, we will be able to control all of the day-to-day business affairs and decision-making of Holdings LLC without the approval of any other member, unless otherwise stated in the LLC Operating Agreement. As such, through our officers and directors, we will be responsible for all operational and administrative decisions of Holdings LLC and the day-to-day management of Holdings LLC’s business. Pursuant to the LLC Operating Agreement, we cannot be removed, under any circumstances, as the sole managing member of Holdings LLC except by our election.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not be entitled to compensation for our services as managing member. We will be entitled to reimbursement by Holdings LLC for fees and expenses incurred on behalf of Holdings LLC, including all expenses associated with this offering and maintaining our corporate existence.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Capitalization of Holdings LLC Upon Completion of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authorize the issuance of an unlimited number of Series A Units and Series B Units. In connection with the completion of this offering, the LLC Operating Agreement will be amended and restated to recapitalize the interests currently held by the existing owners of Holdings LLC into new classes of common membership units, which are comprised of Series A Units and Series B Units and we refer to collectively as the “LLC Units.” The Series A Units and Series B Units each represent a substantially identical interest in Holdings LLC except that Series A Units will only be held by Accelevation Holdings Corp. and Series B Units will be held by other members of Holdings LLC who will also hold a corresponding number of shares of Class B common stock. Each LLC Unit will entitle the holder to a pro rata share of the net profits and net losses and distributions of Holdings LLC. Holders of LLC Units will have no voting rights, except as expressly provided in the LLC Operating Agreement. Series B Units will not be entitled to any voting rights as the holders of such units will be entitled to exercise voting rights through their corresponding shares of Class B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also reflect a split of LLC Units such that one LLC Unit can be acquired with the net proceeds received in the initial offering from the sale of one share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LLC Operating Agreement will authorize the issuance to us of an unlimited number of convertible preferred units and non-convertible preferred units (collectively, the “Holdings Preferred Units”). There will be no Holdings Preferred Units outstanding upon completion of this offering, however Holdings LLC may issue Holdings Preferred Units to us in connection with the future issuance by the Company of preferred stock or certain debt securities. See “Description of Capital Stock—Preferred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generally require quarterly “tax distributions” to be made by Holdings LLC to its members. Tax distributions generally will be made to each member of Holdings LLC, including us, on a pro rata basis among the LLC Unitholders based on Holdings LLC’s net taxable income at a tax rate that will be determined by us. The tax rate used to determine tax distributions will apply regardless of the actual final tax liability of any such member. We expect Holdings LLC may make distributions out of distributable cash periodically to the extent permitted by agreements governing indebtedness of Holdings LLC and necessary to enable Holdings LLC to cover its operating expenses and other obligations, including our tax liability and obligations under the Tax Receivable Agreement. Our Board will determine the appropriate uses for any excess cash so accumulated, which may include, among other uses, dividends, repurchases of our Class A common stock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(i) any cash distribution by us or (ii) any cash that we retain and do not distribute to stockholders. To the extent that we do not distribute such excess cash as dividends on our Class A common stock and instead, for example, hold such cash balances or lend them to Holdings LLC, holders of LLC Units would benefit from any value attributable to such cash balances as a result of their ownership of Class A common stock following an exchange of their LLC Units.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LLC Operating Agreement provides that Investment Holdings and certain existing owners of Holdings LLC (and certain permitted transferees thereof) may, pursuant to the terms of the Exchange Agreement described below, exchange its Series B Units of Holdings LLC for shares of our Class A common stock on a one-for-one basis, or, at our election, for cash, from a substantially concurrent public offering or private sale (based on the price of our Class A common stock in such public offering or private sale). A holder of Series B Units of Holdings LLC will also be required to deliver to us an equivalent number of shares of Class B common stock to effectuate an exchange. As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holder surrenders or exchanges its Series B Units of Holdings LLC, our interest in Holdings LLC will be correspondingly increased. See “—Exchange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Issuance of LLC Units Upon Exercise of Options or Issuance of Other Equity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exercise of options issued by us, or the issuance of other types of equity compensation by us (such as the issuance of restricted or non-restricted stock, payment of bonuses in stock or settlement of stock appreciation rights in stock), we will be required to acquire from Holdings LLC a number of Series A Units of Holdings LLC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Holdings LLC or its subsidiaries, we will make, or be deemed to make, a capital contribution to Holdings LLC equal to the aggregate value of such shares of Class A common stock, and Holdings LLC will issue to us a number of Series A Units of Holdings LLC equal to the number of shares of Class A common stock we issued. When we issue shares of Class A common stock in settlement of stock options granted to persons that are officers or employees of Holdings LLC or its subsidiaries, we will be deemed to have sold directly to the person exercising such award a portion of the value of each share of Class A common stock equal to the exercise price per share, and we will be deemed to have sold directly to Holdings LLC (or the applicable subsidiary of Holdings LLC) the difference between the exercise price and market price per share for each such share of Class A common stock. In cases where we grant other types of equity compensation to employees of Holdings LLC or its subsidiaries, on each applicable vesting date we will be deemed to have sold to Holdings LLC (or such subsidiary) the number of vested shares of Class A common stock at a price equal to the market price per share, Holdings LLC (or such subsidiary) will deliver the shares to the applicable person, and we will be deemed to have made a capital contribution in Holdings LLC equal to the purchase price for such shares in exchange for an equal number of Series A Units of Holdings LLC.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Maintenance of One-to-One Ratio of Shares of Class A Common Stock and LLC Units Owned by Accelevation Holdings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the LLC Operating Agreement will require that (i) we at all times maintain a ratio of one Series A Unit of Holdings LLC owned by us for each share of Class A common stock issued by us (subject to certain exceptions for treasury shares and shares underlying certain convertible or exchangeable securities) and (ii) Holdings LLC at all times maintains (x) a one-to-one ratio between the number of shares of Class A common stock issued by us and the number of Holdings LLC Units owned by us and (y) a one-to-one ratio between the number of shares of Class B common stock issued and outstanding and the number of LLC Units owned by LLC Unitholders (other than us) and their permitted transferees, collectively.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Transfer Restrictions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generally does not permit transfers of LLC Units by members, subject to limited exceptions. Any transferee of LLC Units must assume, by operation of law or written agreement, all of the obligations of a transferring member with respect to the transferred units, even if the transferee is not admitted as a member of Holdings LLC.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Dissolution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provide that the unanimous consent of all members holding voting units will be required to voluntarily dissolve Holdings LLC. In addition to a voluntary dissolution, Holdings LLC will be dissolved upon a change of control transaction under certain circumstances, as well as upon the entry of a decree of judicial dissolution or other circumstances in accordance with Delaware law. Upon a dissolution event, the proceeds of a liquidation will be distributed in the following order: (i) first, to pay the expenses of winding up Holdings LLC; (ii) second, to pay debts and liabilities owed to creditors of Holdings LLC, other than members; (iii) third, to pay debts and liabilities owed to members; and (iv) fourth, to the members pro rata in accordance with their respective percentage ownership interests in Holdings LLC (as determined based on the number of LLC Units held by a member relative to the aggregate number of all outstanding LLC Units).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Confidentiality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member will agree to maintain the confidentiality of Holdings LLC’s confidential information. This obligation excludes information independently obtained or developed by the members, information that is in the public domain or otherwise disclosed to a member, in either such case not in violation of a confidentiality obligation or disclosures required by law or judicial process or approved by our Chief Executive Officer.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Indemnification and Exculpation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provides for indemnification of the manager, members and officers of Holdings LLC and their respective subsidiaries or affiliates. To the extent permitted by applicable law, Holdings LLC will indemnify us, as its managing member, its authorized officers, its other employees and agents from and against any losses, liabilities, damages, costs, expenses, fees or penalties incurred by any acts or omissions of these persons, provided that the acts or omissions of these indemnified persons are not the result of fraud, intentional misconduct or a violation of the implied contractual duty of good faith and fair dealing, or any lesser standard of conduct permitted under applicable law.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 the managing member, and the authorized officers and other employees and agents of Holdings LLC will not be liable to Holdings LLC, its members or their affiliates for damages incurred by any acts or omissions of these persons, provided that the acts or omissions of these exculpated persons are not the result of fraud, or intentional misconduct.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may be amended with the consent of the holders of a majority in voting power of the outstanding LLC Units. Notwithstanding the foregoing, no amendment to any of the provisions that expressly require the approval or action of certain members may be made without the consent of such members and no amendment to the provisions governing the authority and actions of the managing member or the dissolution of Holdings LLC may be amended without the consent of the managing member.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Tax Receivable Agreement with the TRA Rights Holders. The Tax Receivable Agreement will, among other things, provide for the payment by us to such persons of       % of the amount of certain tax savings (calculated using certain assumptions), if any, that we actually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payments we may make under the Tax Receivable Agreement will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certain other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 actual increases in tax basis with respect to future exchanges or purchases of LLC Units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assumed combined state and local tax rate), the amount and timing of the taxable income that we generate in the future and the extent to which future exchanges or purchases of LLC Units are taxable transactions. Payments under the Tax Receivable Agreement are not conditioned on the TRA Rights Holders’ continued ownership of an interest in Holdings LLC or us. There is no maximum term for the Tax Receivable Agreement, and the obligation to make payments to the TRA Rights Holders will terminate when all tax benefits payable to the TRA Rights Holders under the Tax Receivable Agreement have been paid in full. There may be a material negative effect on our liquidity if, as described below, the payments under the Tax Receivable Agreement exceed the actual benefits we receive in respect of the tax attributes subject to the Tax Receivable Agreement and/or distributions to us by Holdings LLC are not sufficient to permit us to make payments under the Tax Receivable Agreement. There can be no assurance that we will be able to finance our obligations under the Tax Receivable Agreement. This summary does not purport to be complete and is qualified in its entirety by the provisions of the form of Tax Receivable Agreement, a copy of which will be filed as an exhibit to the registration statement of which this prospectus forms a part in a future filing.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TRA Rights Holders will not reimburse us for any payments previously made if such tax basis increases or other tax benefits are subsequently disallowed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As a result, in such circumstances we could make payments to the TRA Rights Holders under the Tax Receivable Agreement that are greater than our actual cash tax savings and may not be able to recoup those payments, which could negatively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determine, which tax reporting positions will be based on the advice of our tax advisors. Any payments made by us to the TRA Rights Holders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Tax Receivable Agreement provides that (i) in the event that we breach any of our material obligations under the Tax Receivable Agreement, (ii) upon certain changes of control or (iii) if, with the written approval of a majority of our independent directors,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These provisions in the Tax Receivable Agreement may result in situations where the TRA Rights Holders have interests that differ from or are in addition to those of our other stockholders.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our obligations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because we are a holding company with no operations of our own, our ability to make payments under the Tax Receivable Agreement is dependent on the ability of Holdings LLC to make distributions to us. To the extent that we are unable to make payments under the Tax Receivable Agreement for any reason, such payments will be deferred and will accrue interest until paid.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Exchange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enter into the Exchange Agreement with Investment Holdings and certain existing owners of Holdings LLC. Under the Exchange Agreement, Investment Holdings and certain existing owners of Holdings LLC (and certain permitted transferees thereof) may (subject to the terms of the Exchange Agreement) surrender its Series B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Units of Holdings LLC to Holdings LLC or, at our election, exchange its Series B Units of Holdings LLC for shares of our Class A common stock on a one-for-one basis, or, at our election, for cash from a substantially concurrent public offering or private sale (based on the price of our Class A common stock in such public offering or private sale). The holders of Series B Units of Holdings LLC will also be required to deliver to us an equivalent number of shares of Class B common stock to effectuate an exchange. Any shares of Class B common stock so delivered will be cancelled. As a holder surrenders or exchanges its Series B Units of Holdings LLC, our interest in Holdings LLC will be correspondingly increased.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the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shares of Class A common stock directly or indirectly owned by it or issuable to it upon exchange of LLC Units. The Registration Rights Agreement will also provide for piggyback registration rights for our Principal Stockholder. See “Certain Relationships and Related Party Transactions—Registration Rights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 age as of June 30, 2026 and certain other information with respect to our directors, director nominees and executive officers:</w:t>
      </w:r>
    </w:p>
    <w:tbl>
      <w:tblPr>
        <w:tblW w:w="5785"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130"/>
        <w:gridCol w:w="130"/>
        <w:gridCol w:w="131"/>
        <w:gridCol w:w="109"/>
        <w:gridCol w:w="109"/>
        <w:gridCol w:w="109"/>
        <w:gridCol w:w="911"/>
        <w:gridCol w:w="911"/>
        <w:gridCol w:w="1298"/>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Kenneth Krause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Transformation Officer</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Brent Jewell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Operations</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 Boyd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 Bettegowda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Bujor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r>
    </w:tbl>
    <w:p>
      <w:pPr>
        <w:pStyle w:val="TextBody"/>
        <w:bidi w:val="0"/>
        <w:spacing w:lineRule="auto" w:line="288" w:before="160" w:after="283"/>
        <w:ind w:left="0" w:right="0" w:firstLine="360"/>
        <w:jc w:val="both"/>
        <w:rPr/>
      </w:pPr>
      <w:r>
        <w:rPr>
          <w:rFonts w:ascii="Times New Roman;serif" w:hAnsi="Times New Roman;serif"/>
          <w:b/>
          <w:color w:val="000000"/>
          <w:sz w:val="20"/>
        </w:rPr>
        <w:t>Michael Rubiera</w:t>
      </w:r>
      <w:r>
        <w:rPr>
          <w:color w:val="000000"/>
        </w:rPr>
        <w:t xml:space="preserve"> </w:t>
      </w:r>
      <w:r>
        <w:rPr>
          <w:rFonts w:ascii="Times New Roman;serif" w:hAnsi="Times New Roman;serif"/>
          <w:b w:val="false"/>
          <w:color w:val="000000"/>
          <w:sz w:val="20"/>
        </w:rPr>
        <w:t>has served as our Chief Executive Officer since founding Accelevation in 2017. Prior to joining the Company, Mr. Rubiera was the Chief Commercial Officer of Senneca Holdings from April 2016 to May 2018, where he led the company’s sales, marketing, customer service and product development efforts and played a key role in the acquisition and integration of 16 companies over a period of 18 months. Mr. Rubiera has also held leadership positions at Valspar, Ecolab and General Mills, launched eight start-ups and obtained three patents. Mr. Rubiera received his MBA from the Kenan-Flagler Business School at the University of North Carolina at Chapel Hill and his BA in International Relations from the College of William and Mary. We believe that Mr. Rubiera is qualified to serve as a director given his deep industry experience and his insight into our business as our co-founder and Chief Executive Officer.</w:t>
      </w:r>
    </w:p>
    <w:p>
      <w:pPr>
        <w:pStyle w:val="TextBody"/>
        <w:bidi w:val="0"/>
        <w:spacing w:lineRule="auto" w:line="288" w:before="160" w:after="283"/>
        <w:ind w:left="0" w:right="0" w:firstLine="360"/>
        <w:jc w:val="both"/>
        <w:rPr/>
      </w:pPr>
      <w:r>
        <w:rPr>
          <w:rFonts w:ascii="Times New Roman;serif" w:hAnsi="Times New Roman;serif"/>
          <w:b/>
          <w:color w:val="000000"/>
          <w:sz w:val="20"/>
        </w:rPr>
        <w:t>Kenneth Krause</w:t>
      </w:r>
      <w:r>
        <w:rPr>
          <w:color w:val="000000"/>
        </w:rPr>
        <w:t xml:space="preserve"> </w:t>
      </w:r>
      <w:r>
        <w:rPr>
          <w:rFonts w:ascii="Times New Roman;serif" w:hAnsi="Times New Roman;serif"/>
          <w:b w:val="false"/>
          <w:color w:val="000000"/>
          <w:sz w:val="20"/>
        </w:rPr>
        <w:t>has served as our Chief Financial Officer since June 15, 2026. Prior to joining the Company Mr. Krause was Executive Vice President and Chief Financial Officer of Rollins, Inc. from September 2022 to June 2026. Prior to that, Mr. Krause served as Senior Vice President, Chief Financial Officer, Chief Strategy Officer and Treasurer of MSA Safety, Inc. from 2015 to 2022. He also held a number of leadership positions of increasing responsibility at MSA Safety from 2006 to 2015. Earlier in his career, Mr. Krause was a senior manager in the audit practice of KPMG LLP. Mr. Krause has more than 25 years of experience in finance, strategy, capital markets and business transformation across public and private companies. He currently serves on the Board of Directors of Sotera Health Company, a public company traded on the Nasdaq exchange focused on providing mission-critical services and solutions for the global healthcare industry. Mr. Krause received a BS in Business Administration with a concentration in Accounting from Slippery Rock University and an MBA from the University of Pittsburgh Katz Graduate School of Business. He is a Certified Public Accountant (inactive status) in the Commonwealth of Pennsylvania.</w:t>
      </w:r>
    </w:p>
    <w:p>
      <w:pPr>
        <w:pStyle w:val="TextBody"/>
        <w:bidi w:val="0"/>
        <w:spacing w:lineRule="auto" w:line="288" w:before="160" w:after="283"/>
        <w:ind w:left="0" w:right="0" w:firstLine="360"/>
        <w:jc w:val="both"/>
        <w:rPr/>
      </w:pPr>
      <w:r>
        <w:rPr>
          <w:rFonts w:ascii="Times New Roman;serif" w:hAnsi="Times New Roman;serif"/>
          <w:b/>
          <w:color w:val="000000"/>
          <w:sz w:val="20"/>
        </w:rPr>
        <w:t>Charles Hillman</w:t>
      </w:r>
      <w:r>
        <w:rPr>
          <w:color w:val="000000"/>
        </w:rPr>
        <w:t xml:space="preserve"> </w:t>
      </w:r>
      <w:r>
        <w:rPr>
          <w:rFonts w:ascii="Times New Roman;serif" w:hAnsi="Times New Roman;serif"/>
          <w:b w:val="false"/>
          <w:color w:val="000000"/>
          <w:sz w:val="20"/>
        </w:rPr>
        <w:t>has served as our Chief Transformation Officer since June 15, 2026 and previously served as our Chief Financial Officer from May 2024 until June 2026 and as our Chief Transformation Officer from May 2023 to May 2024. Prior to joining the Company, Mr. Hillman worked for Corsearch, an international software company, as their Chief Financial Officer from May 2022 to February 2023, their Chief Transformation Officer from May 2020 to May 2022 and their Vice President of Financial Planning and Analysis from October 2018 to May 2020. He has over 15 years of experience in leadership positions in finance, M&amp;A and strategy from his prior employment with Corsearch, Senneca Holdings, Vertafore and Reynolds &amp; Reynolds. He earned an MBA from San Diego State University and a BS in Pre-Medicine from the University of Toledo.</w:t>
      </w:r>
    </w:p>
    <w:p>
      <w:pPr>
        <w:pStyle w:val="TextBody"/>
        <w:bidi w:val="0"/>
        <w:spacing w:lineRule="auto" w:line="288" w:before="160" w:after="283"/>
        <w:ind w:left="0" w:right="0" w:firstLine="360"/>
        <w:jc w:val="both"/>
        <w:rPr/>
      </w:pPr>
      <w:r>
        <w:rPr>
          <w:rFonts w:ascii="Times New Roman;serif" w:hAnsi="Times New Roman;serif"/>
          <w:b/>
          <w:color w:val="000000"/>
          <w:sz w:val="20"/>
        </w:rPr>
        <w:t>Brent Jewell</w:t>
      </w:r>
      <w:r>
        <w:rPr>
          <w:color w:val="000000"/>
        </w:rPr>
        <w:t xml:space="preserve"> </w:t>
      </w:r>
      <w:r>
        <w:rPr>
          <w:rFonts w:ascii="Times New Roman;serif" w:hAnsi="Times New Roman;serif"/>
          <w:b w:val="false"/>
          <w:color w:val="000000"/>
          <w:sz w:val="20"/>
        </w:rPr>
        <w:t xml:space="preserve">has served as our Chief Operating Officer since June 15, 2026. Prior to joining the Company, Mr. Jewell served as President of the Architectural Glass Segment of Apogee Enterprises, Inc. from October 2023 to June 2026, President of Architectural Framing Systems from August 2019 to October 2023, and Senior Vice President of Business Development and Strategy from June 2018 to July 2019. Before these roles, Mr. Jewell held senior leadership positions with Valspar and sales, marketing, and general management positions with NewPage Corporation. Mr. Jewell has more than 25 years of leadership experience across manufacturing, industrial products,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commercial construction, supply chain and business transformation. He received an MBA from the University of Michigan and a BS in Business from Miami University.</w:t>
      </w:r>
    </w:p>
    <w:p>
      <w:pPr>
        <w:pStyle w:val="TextBody"/>
        <w:bidi w:val="0"/>
        <w:spacing w:lineRule="auto" w:line="288" w:before="160" w:after="283"/>
        <w:ind w:left="0" w:right="0" w:firstLine="360"/>
        <w:jc w:val="both"/>
        <w:rPr/>
      </w:pPr>
      <w:r>
        <w:rPr>
          <w:rFonts w:ascii="Times New Roman;serif" w:hAnsi="Times New Roman;serif"/>
          <w:b/>
          <w:color w:val="000000"/>
          <w:sz w:val="20"/>
        </w:rPr>
        <w:t>Ericka Harrison</w:t>
      </w:r>
      <w:r>
        <w:rPr>
          <w:color w:val="000000"/>
        </w:rPr>
        <w:t xml:space="preserve"> </w:t>
      </w:r>
      <w:r>
        <w:rPr>
          <w:rFonts w:ascii="Times New Roman;serif" w:hAnsi="Times New Roman;serif"/>
          <w:b w:val="false"/>
          <w:color w:val="000000"/>
          <w:sz w:val="20"/>
        </w:rPr>
        <w:t>has served as our Senior Vice President of Operations since April 2024. Prior to this role, Ms. Harrison served as our Vice President of Supply Chain and Procurement from September 2023 to April 2024. Prior to joining the Company, Ms. Harrison was a Senior Operations Manager at Amazon from December 2021 to September 2023 and an Operations Manager from July 2020 to December 2021. Prior to these roles, Ms. Harrison spent eight years at GE Aviation. Altogether, Ms. Harrison has over 16 years of experience in supply chain leadership positions. Ms. Harrison received a Master’s in Social Work from the University of Cincinnati and a Bachelor’s in Business Administration from the University of Evansville.</w:t>
      </w:r>
    </w:p>
    <w:p>
      <w:pPr>
        <w:pStyle w:val="TextBody"/>
        <w:bidi w:val="0"/>
        <w:spacing w:lineRule="auto" w:line="288" w:before="160" w:after="283"/>
        <w:ind w:left="0" w:right="0" w:firstLine="360"/>
        <w:jc w:val="both"/>
        <w:rPr/>
      </w:pPr>
      <w:r>
        <w:rPr>
          <w:rFonts w:ascii="Times New Roman;serif" w:hAnsi="Times New Roman;serif"/>
          <w:b/>
          <w:color w:val="000000"/>
          <w:sz w:val="20"/>
        </w:rPr>
        <w:t>Matt Boyd</w:t>
      </w:r>
      <w:r>
        <w:rPr>
          <w:color w:val="000000"/>
        </w:rPr>
        <w:t xml:space="preserve"> </w:t>
      </w:r>
      <w:r>
        <w:rPr>
          <w:rFonts w:ascii="Times New Roman;serif" w:hAnsi="Times New Roman;serif"/>
          <w:b w:val="false"/>
          <w:color w:val="000000"/>
          <w:sz w:val="20"/>
        </w:rPr>
        <w:t>is expected to serve on our Board after completion of this offering. Mr. Boyd joined Olympus in 2011 where he has been a Partner since 2022 and previously was Vice President from October 2014 to December 2018 and Principal from January 2019 to December 2022. Prior to joining Olympus, Mr. Boyd was an Analyst at Harris Williams &amp; Co., an investment bank and financial services company. Mr. Boyd earned his Master’s Degree in Accounting from the McCombs School of Business at the University of Texas at Austin and his Bachelor of Business Administration in Accounting and Finance from the University of Texas at Austin. We believe that Mr. Boyd is qualified to serve as a director given his extensive experience in, and deep knowledge of, the Company’s business developed over his time at Olympus.</w:t>
      </w:r>
    </w:p>
    <w:p>
      <w:pPr>
        <w:pStyle w:val="TextBody"/>
        <w:bidi w:val="0"/>
        <w:spacing w:lineRule="auto" w:line="288" w:before="160" w:after="283"/>
        <w:ind w:left="0" w:right="0" w:firstLine="360"/>
        <w:jc w:val="both"/>
        <w:rPr/>
      </w:pPr>
      <w:r>
        <w:rPr>
          <w:rFonts w:ascii="Times New Roman;serif" w:hAnsi="Times New Roman;serif"/>
          <w:b/>
          <w:color w:val="000000"/>
          <w:sz w:val="20"/>
        </w:rPr>
        <w:t>Manu Bettegowda</w:t>
      </w:r>
      <w:r>
        <w:rPr>
          <w:color w:val="000000"/>
        </w:rPr>
        <w:t xml:space="preserve"> </w:t>
      </w:r>
      <w:r>
        <w:rPr>
          <w:rFonts w:ascii="Times New Roman;serif" w:hAnsi="Times New Roman;serif"/>
          <w:b w:val="false"/>
          <w:color w:val="000000"/>
          <w:sz w:val="20"/>
        </w:rPr>
        <w:t>is expected to join our Board prior to completion of this offering. Mr. Bettegowda has served as a Managing Partner at Olympus since 2021. Mr. Bettegowda joined Olympus as an associate in 1998 and was promoted to Partner in 2005. Mr. Bettegowda currently serves on the Board of Directors of Tank Holding, Amspec, Liqui-box and Footprint, and has previously served on the board of directors of several former Olympus portfolio companies. Mr. Bettegowda earned his BA from Duke University. We believe that Mr. Bettegowda is qualified to serve as a director as he provides his more than 25 years of private equity investment experience, extensive portfolio company board service and deep knowledge of our business and industry.</w:t>
      </w:r>
    </w:p>
    <w:p>
      <w:pPr>
        <w:pStyle w:val="TextBody"/>
        <w:bidi w:val="0"/>
        <w:spacing w:lineRule="auto" w:line="288" w:before="160" w:after="283"/>
        <w:ind w:left="0" w:right="0" w:firstLine="360"/>
        <w:jc w:val="both"/>
        <w:rPr/>
      </w:pPr>
      <w:r>
        <w:rPr>
          <w:rFonts w:ascii="Times New Roman;serif" w:hAnsi="Times New Roman;serif"/>
          <w:b/>
          <w:color w:val="000000"/>
          <w:sz w:val="20"/>
        </w:rPr>
        <w:t>Matt Bujor</w:t>
      </w:r>
      <w:r>
        <w:rPr>
          <w:color w:val="000000"/>
        </w:rPr>
        <w:t xml:space="preserve"> </w:t>
      </w:r>
      <w:r>
        <w:rPr>
          <w:rFonts w:ascii="Times New Roman;serif" w:hAnsi="Times New Roman;serif"/>
          <w:b w:val="false"/>
          <w:color w:val="000000"/>
          <w:sz w:val="20"/>
        </w:rPr>
        <w:t>is expected to join our Board prior to completion of this offering. Mr. Bujor has served as a Principal at Olympus since July 2025. Mr. Bujor joined Olympus in August 2018 as an Associate and was promoted to Vice President in July 2021. Mr. Bujor earned his BS in Commerce, with concentrations in Finance and Accounting and a minor in Economics, from the University of Virginia. We believe that Mr. Bujor is qualified to serve as a director given his significant experience assisting management and advising private equity investments, together with his expertise in financial analysis and transaction execution.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any of our executive officers, directors or director nominees.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Board Composition and Director Independence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affairs are managed under the direction of our Board. Following completion of this offering, our Board will be composed of                    directors. Our certificate of incorporation will provide that the authorized number of directors may be changed only by resolution of our Board. In addition, the Director Nomination Agreement will prohibit us from increasing or decreasing the size of our Board without the prior written consent of Olympus. Our certificate of incorporation will also provide that our Board will be divided into three classes of directors, with the classes as nearly equal in number as possible. Subject to any earlier resignation or removal in accordance with the terms of our certificate of incorporation and bylaws, our Class I directors will be                    ,                     , and                    , and will serve until the first annual meeting of stockholders following the completion of this offering, our Class II directors will be                    ,                     , and                    , and will serve until the second annual meeting of stockholders following the completion of this offering and our Class III directors will be                    ,                     , and                    , and will serve until the third annual meeting of stockholders following the completion of this offering. Upon completion of this offering, we expect that each of our directors will serve in the classes as indicated above. This classification of our Board could have the effect of increasing the length of time necessary to change the composition of a majority of the Board. In general, at least two annual meetings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stockholders will be necessary for stockholders to effect a change in a majority of members of the Board. In addition, our certificate of incorporation will provide that our directors may be removed with or without cause by the affirmative vote of at least a majority of the voting power of our outstanding shares of stock entitled to vote thereon, voting together as a single class for so long as Olympus beneficially owns          % or more, in the aggregate, of the total number of shares of our common stock then outstanding. If Olympus’ aggregate beneficial ownership falls below          % of the total number of shares of our common stock outstanding, then our directors may be removed only for cause upon the affirmative vote of at least 66 2/3% of the voting power of our outstanding shares of stock entitled to vote thereon.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at any time when Olympus has the right to designate at least one nominee for election to our Board, Olympus will also have the right to have one of its nominated directors hold one seat on each Board committee, subject to satisfying any applicable stock exchange rules or regulations regarding the independence of Board committee members. The listing standards of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has determined that                    ,                     , and                    meet the requirements to be independent directors. In making this determination, our Board considered the relationships that each such non-employee director has with Accelevation and all other facts and circumstances that our Board deemed relevant in determining their independence, including beneficial ownership of our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“Certain Relationships and Related Party Transactions—Director Nomination Agreement” for more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Controlled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completion of this offering, Olympus will continue to control a majority of the voting power in us. As a result, we will be a “controlled company.” Under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its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board of directors that is composed of a majority of “independent directors,” as defined under the rules of such exchange;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compensation committee that is composed entirely of independent directors;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nominating and corporate governance committee that is composed entirely of independent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we intend to rely on this exemption. As a result, we may not have a majority of independent directors on our Board. In addition, our Compensation and Nominating Committee may not consist entirely of independent directors or be subject to annual performance evaluations. Accordingly, you may not have the same protections afforded to stockholders of companies that are subject to all of the              corporate governance requirements.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Board Committees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this offering, our Board will have an audit committee (our “Audit Committee”) and a compensation and nominating committee (our “Compensation and Nominating Committee”). The composition,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duties and responsibilities of these committees will be as set forth below. In the future, our Board may establish other committees, as it deems appropriate, to assist it with its responsibilities.</w:t>
      </w:r>
    </w:p>
    <w:tbl>
      <w:tblPr>
        <w:tblW w:w="6458" w:type="dxa"/>
        <w:jc w:val="left"/>
        <w:tblInd w:w="0" w:type="dxa"/>
        <w:tblLayout w:type="fixed"/>
        <w:tblCellMar>
          <w:top w:w="28" w:type="dxa"/>
          <w:left w:w="28" w:type="dxa"/>
          <w:bottom w:w="28" w:type="dxa"/>
          <w:right w:w="28" w:type="dxa"/>
        </w:tblCellMar>
      </w:tblPr>
      <w:tblGrid>
        <w:gridCol w:w="440"/>
        <w:gridCol w:w="386"/>
        <w:gridCol w:w="389"/>
        <w:gridCol w:w="109"/>
        <w:gridCol w:w="109"/>
        <w:gridCol w:w="109"/>
        <w:gridCol w:w="449"/>
        <w:gridCol w:w="449"/>
        <w:gridCol w:w="451"/>
        <w:gridCol w:w="109"/>
        <w:gridCol w:w="109"/>
        <w:gridCol w:w="109"/>
        <w:gridCol w:w="948"/>
        <w:gridCol w:w="948"/>
        <w:gridCol w:w="134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Board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and Nominating Committee</w:t>
            </w:r>
          </w:p>
        </w:tc>
      </w:tr>
      <w:tr>
        <w:trPr/>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our Audit Committee will be composed of          ,        , and                    with                   serving as chair of the committee. We intend to comply with the audit committee requirements of the SEC and                   , which require that the Audit Committee be composed of at least one independent director at the closing of this offering, a majority of independent directors within 90 days following this offering and all independent directors within one year following this offering. We anticipate that, prior to the completion of this offering, our Board will determine that           meets the independence requirements of Rule 10A-3 under the Exchange Act and the applicable listing standards of                     . We anticipate that, prior to our completion of this offering, our Board will determine that                    and                   are “audit committee financial experts” within the meaning of SEC regulations and applicable listing standards of                    . The Audit Committee’s responsibilities upon completion of this offering will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appointing, approving the compensation of, and assessing the qualifications, performance and independence of our independent registered public accounting firm;</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pre-approving audit and permissible non-audit services, and the terms of such services, to be provided by our independent registered public accounting firm;</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discussing on a periodic basis, or as appropriate, with management, the risks we face and our policies, programs and controls with respect to risk assessment and risk management, including our major financial risk exposures and cybersecurity risks;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and the independent registered public accounting firm our annual and quarterly financial statements and related disclosures as well as critical accounting policies and practices used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our management’s discussion and analysis of financial condition and results of operations to be included in our annual and quarterly reports to be filed with the SEC;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monitoring the rotation of partners of the independent registered public accounting firm on our engagement team in accordance with requirements established by the SEC;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management’s report on its assessment of the effectiveness of internal control over financial reporting and any changes thereto;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the adequacy of our internal control over financial reporting;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establishing policies and procedures for the receipt, retention, follow-up and resolution of accounting-related complaints and concerns;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recommending, based upon the Audit Committee’s review and discussions with management and the independent registered public accounting firm, whether our audited financial statements shall be included in our Annual Report on Form 10-K;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monitoring our compliance with legal and regulatory requirements as they relate to our financial statements and accounting matters;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preparing the Audit Committee report required by the rules of the SEC to be included in our annual proxy statement;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investigating any matters received, and reports to the Board periodically, with respect to ethics issues, complaints and associated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the audit committee charter and the committee’s performance at least annually;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all related party transactions for potential conflict of interest situations and approving all such transactions;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and our independent registered public accounting firm our earnings releases and scripts.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Compensation and Nominating Committee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our Compensation and Nominating Committee will be composed of                    ,                    , and                     with                    serving as chair of the committee. The Compensation and Nominating Committee’s responsibilities upon completion of this offering will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annually reviewing and approving corporate goals and objectives relevant to the compensation of our Chief Executive Officer;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evaluating the performance of our Chief Executive Officer in light of such corporate goals and objectives and determining and approving the compensation of our Chief Executive Officer;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approving the compensation of our other executive officers;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appointing, compensating and overseeing the work of any compensation consultant, legal counsel or other advisor retained by the compensation committee;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conducting the independence assessment outlined in                    rules with respect to any compensation consultant, legal counsel or other advisor retained by the compensation committee;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annually reviewing and reassessing the adequacy of the committee charter in its compliance with the listing requirements of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establishing our overall management compensation, philosophy and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overseeing and administering our compensation and similar plans;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making recommendations to our Board with respect to director compensation;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the compensation discussion and analysis to be included in our annual proxy statement or Annual Report on Form 10-K;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criteria for board and committee membership;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subject to the rights of Olympus under the Director Nomination Agreement as described in “Certain Relationships and Related Party Transactions—Director Nomination Agreement,” identifying and recommending to our Board the persons to be nominated for election as directors and to each of our Board’s committees;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best practices and corporate governance principles;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a set of corporate governance guidelines;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recommending to our Board the functions, duties and compositions of the committees of our Board.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 Oversight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will oversee the risk management activities designed and implemented by our management. Our Board will execute its oversight responsibility for risk management both directly and through its committees. The full Board will also consider specific risk topics, including risks associated with our strategic plan, business operations and capital structure. In addition, our Board will receive detailed regular reports from members of our senior management and other personnel that include assessments and potential mitigation of the risks and exposures involved with their respective areas of responsibility.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will delegate to the Audit Committee oversight of our risk management process. The other committees of our Board will also consider and address risk as they perform their respective committee responsibilities. All committees will report to the full Board as appropriate, including when a matter rises to the level of a material or enterprise level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our executive officers currently serves, or in the past fiscal year has served, as a member of the Board or compensation committee of any entity that has one or more executive officers serving on our Board or Compensation and Nominating Committee.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completion of this offering, we intend to adopt a code of business conduct and ethics that applies to all of our employees, officers and directors, including those officers responsible for financial reporting. Upon the closing of this offering, our code of business conduct and ethics will be available on our website. We intend to disclose any amendments to the code, or any waivers of its requirements,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only to the following “Named Executive Officers,” which are the individuals who served as the Company’s principal executive officer and the next two most highly compensated executive officers at the end of the fiscal year ended December 31, 2025.</w:t>
      </w:r>
    </w:p>
    <w:tbl>
      <w:tblPr>
        <w:tblW w:w="5021"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938"/>
        <w:gridCol w:w="938"/>
        <w:gridCol w:w="1333"/>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Position</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Hillman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Operations</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compensation awarded to, earned by or paid to our Named Executive Officers for the year ended December 31, 2025.</w:t>
      </w:r>
    </w:p>
    <w:tbl>
      <w:tblPr>
        <w:tblW w:w="10683"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74"/>
        <w:gridCol w:w="174"/>
        <w:gridCol w:w="178"/>
        <w:gridCol w:w="109"/>
        <w:gridCol w:w="109"/>
        <w:gridCol w:w="109"/>
        <w:gridCol w:w="302"/>
        <w:gridCol w:w="388"/>
        <w:gridCol w:w="393"/>
        <w:gridCol w:w="109"/>
        <w:gridCol w:w="109"/>
        <w:gridCol w:w="109"/>
        <w:gridCol w:w="280"/>
        <w:gridCol w:w="389"/>
        <w:gridCol w:w="392"/>
        <w:gridCol w:w="109"/>
        <w:gridCol w:w="109"/>
        <w:gridCol w:w="109"/>
        <w:gridCol w:w="339"/>
        <w:gridCol w:w="388"/>
        <w:gridCol w:w="393"/>
        <w:gridCol w:w="109"/>
        <w:gridCol w:w="109"/>
        <w:gridCol w:w="109"/>
        <w:gridCol w:w="575"/>
        <w:gridCol w:w="389"/>
        <w:gridCol w:w="392"/>
        <w:gridCol w:w="109"/>
        <w:gridCol w:w="109"/>
        <w:gridCol w:w="109"/>
        <w:gridCol w:w="575"/>
        <w:gridCol w:w="336"/>
        <w:gridCol w:w="340"/>
        <w:gridCol w:w="109"/>
        <w:gridCol w:w="109"/>
        <w:gridCol w:w="109"/>
        <w:gridCol w:w="240"/>
        <w:gridCol w:w="402"/>
        <w:gridCol w:w="57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Salary</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Bonus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Option Awards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40" w:before="0" w:after="0"/>
              <w:jc w:val="center"/>
              <w:rPr/>
            </w:pPr>
            <w:r>
              <w:rPr>
                <w:rFonts w:ascii="Times New Roman;serif" w:hAnsi="Times New Roman;serif"/>
                <w:b/>
                <w:color w:val="000000"/>
                <w:sz w:val="16"/>
              </w:rPr>
              <w:t>Compensation</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pPr>
            <w:r>
              <w:rPr>
                <w:rFonts w:ascii="Times New Roman;serif" w:hAnsi="Times New Roman;serif"/>
                <w:b/>
                <w:color w:val="000000"/>
                <w:sz w:val="16"/>
              </w:rPr>
              <w:t>Compensation</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Michael Rubiera</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1,328,461</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Charles Hillman</w:t>
            </w:r>
            <w:r>
              <w:rPr>
                <w:rFonts w:ascii="Times New Roman;serif" w:hAnsi="Times New Roman;serif"/>
                <w:b w:val="false"/>
                <w:color w:val="000000"/>
                <w:sz w:val="13"/>
              </w:rPr>
              <w:t>(6)</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Former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1,207,914</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Ericka Harrison</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535,317</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this column reflect the base salary earned by each Named Executive Officer in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(2)Amounts in this column reflect the discretionary bonus amount approved by our Board in connection with its approval of the annual performance-based cash bonuses earned by each Named Executive Officer in 2025. See “Annual Performance Bonus” in the Narrative Disclosure to Summary Compensation Table section below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reported in this column represent the grant date fair value of Series P Units in Accelevation Management Aggregator LLC (“Incentive Units”) granted during fiscal year 2025, computed in accordance with FASB Accounting Standards Codification Topic 718. The Incentive Units are intended to constitute profits interests for U.S. federal income tax purposes. Despite the fact that the Incentive Units do not require the payment of an exercise price, they are most similar economically to stock options. Accordingly, they are classified as “options” under the definition provided in Item 402(a)(6)(i) of Regulation S-K as an instrument with an “option-like feature.” The assumptions used in calculating the grant date fair value of the Incentive Units reported in this column are set forth in Note 12 to the consolidated financial statements included elsewhere in this prospectus. The amounts reported in this column reflect the grant date fair value for these Incentive Units and do not correspond to the economic value that may be ultimately realized in respect of the Incentive Units.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(4)Amounts in this column reflect the annual performance-based cash bonuses earned by each Named Executive Officer in 2025 and paid in 2026. See “Narrative Disclosure to Summary Compensation Table—Annual Performance Bonus” in the section below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(5)Amounts in this column reflect 401(k) plan matching contributions made on the applicable Named Executive Officer’s behalf.</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(6)On June 15, 2026, Kenneth Krause was appointed Chief Financial Officer of the Company. Mr. Hillman transitioned to the role of Chief Transformation Officer effective June 15, 2026.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Outstanding Equity Awards at 2025 Fiscal Year End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information regarding outstanding equity-based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84"/>
        <w:gridCol w:w="279"/>
        <w:gridCol w:w="283"/>
        <w:gridCol w:w="109"/>
        <w:gridCol w:w="109"/>
        <w:gridCol w:w="109"/>
        <w:gridCol w:w="221"/>
        <w:gridCol w:w="221"/>
        <w:gridCol w:w="223"/>
        <w:gridCol w:w="109"/>
        <w:gridCol w:w="109"/>
        <w:gridCol w:w="109"/>
        <w:gridCol w:w="693"/>
        <w:gridCol w:w="693"/>
        <w:gridCol w:w="695"/>
        <w:gridCol w:w="109"/>
        <w:gridCol w:w="109"/>
        <w:gridCol w:w="109"/>
        <w:gridCol w:w="878"/>
        <w:gridCol w:w="878"/>
        <w:gridCol w:w="881"/>
        <w:gridCol w:w="109"/>
        <w:gridCol w:w="109"/>
        <w:gridCol w:w="109"/>
        <w:gridCol w:w="347"/>
        <w:gridCol w:w="347"/>
        <w:gridCol w:w="349"/>
        <w:gridCol w:w="109"/>
        <w:gridCol w:w="109"/>
        <w:gridCol w:w="109"/>
        <w:gridCol w:w="347"/>
        <w:gridCol w:w="347"/>
        <w:gridCol w:w="504"/>
      </w:tblGrid>
      <w:tr>
        <w:trPr/>
        <w:tc>
          <w:tcPr>
            <w:tcW w:w="3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Number of Securities Underlying Unexercised Options Exercisable</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Incentive Plan Awards: Number of Securities Underlying Unexercised Unearned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Expiration Date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table reflects information regarding Incentive Units granted to our Named Executive Officers that were outstanding as of December 31, 2025, which are intended to be profits interests for U.S. federal income tax purposes. Awards reflected as “Unearned” are Incentive Units that have not yet vested. Awards reflected as “Exercisable” are Incentive Units that have vested and remain outstanding. However, for the avoidance of doubt, the Incentive Units are held by each Named Executive Officer and there is no exercise component to the Incentive Units awards. Despite the fact that the Incentive Units do not require the payment of an exercise price, they are most similar economically to stock options. Accordingly, they are classified as “options” under the definition provided in Item 402(a)(6)(i) of Regulation S-K as an instrument with an “option-like feature.”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(2)This table reflects Incentive Units that vest in three tranches, in each case subject to the holder’s continuous service with us through the applicable vesting or measurement date. The Tranche A Units (two-thirds of the Incentive Units) vest ratably over the first five anniversaries of the grant date, subject to annual Adjusted EBITDA performance targets and an internal rate of return (“IRR”) of at least 8% upon a change in control. The Tranche B Units and Tranche C Units (one-sixth of the Incentive Units each) vest upon a change in control, subject to investor returns of at least 2.0x and 3.0x of Olympus’ investment, respectively, and an IRR of at least 15% and 20%,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Narrative Disclosure to Summary Compensation Table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Letter Agreements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Michael Rubiera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9, 2022, the Company entered into a letter agreement with Mr. Rubiera in connection with his employment with the Company. The letter agreement provides for at-will employment, an initial annual base salary of $250,000 (increased to $450,000 as of December 31, 2025), as well as eligibility for Mr. Rubiera to participate in the Company’s health plan and 401(k) plan.</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Charles Hillman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23, 2022, the Company entered into a letter agreement with Mr. Hillman in connection with his employment with the Company. The letter agreement provides for at-will employment, an initial annual base salary of $235,000 (increased to $400,000 as of December 31, 2025), as well as eligibility to earn an annual performance cash bonus (as described below under “Annual Performance Bonus”) and eligibility to participate in the Company’s health and 401(k) plan. Under the terms of the letter agreement, Mr. Hillman was also eligible to receive a grant of 500,000 Incentive Units under the 2022 equity incentive plan.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Ericka Harrison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entered into a letter agreement with Ms. Harrison in connection with her employment with the Company. The letter agreement provides for at-will employment, an initial annual base salary of $195,000 (increased to $220,000 as of December 31, 2025), as well as eligibility to earn an annual performance cash bonus (as described below under “Annual Performance Bonus”) and eligibility to participate in the Company’s health and 401(k) plan. Under the terms of the letter agreement, Ms. Harrison was also eligible to receive a grant of 100,000 Incentive Units under the 2022 equity incentive plan.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Annual Performance Bonus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fiscal year 2025, each of our Named Executive Officers was eligible to receive an annual performance bonus. The target bonus amount, expressed as a percentage of base salary for our Named Executive Officers, was 50% for each of Messrs. Rubiera and Hillman, and 25% for Ms. Harrison. Annual bonuses for 2025 were earned based on the attainment of certain performance goals as determined by our Board.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goals for 2025 related to our achievement of an EBITDA target, with payout percentages ranging from 0% to 100% of target based on the level of EBITDA attainment, as set forth in the table below. </w:t>
      </w:r>
    </w:p>
    <w:tbl>
      <w:tblPr>
        <w:tblW w:w="3329" w:type="dxa"/>
        <w:jc w:val="left"/>
        <w:tblInd w:w="0" w:type="dxa"/>
        <w:tblLayout w:type="fixed"/>
        <w:tblCellMar>
          <w:top w:w="28" w:type="dxa"/>
          <w:left w:w="28" w:type="dxa"/>
          <w:bottom w:w="28" w:type="dxa"/>
          <w:right w:w="28" w:type="dxa"/>
        </w:tblCellMar>
      </w:tblPr>
      <w:tblGrid>
        <w:gridCol w:w="629"/>
        <w:gridCol w:w="553"/>
        <w:gridCol w:w="557"/>
        <w:gridCol w:w="466"/>
        <w:gridCol w:w="466"/>
        <w:gridCol w:w="65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Company EBITDA</w:t>
            </w:r>
          </w:p>
          <w:p>
            <w:pPr>
              <w:pStyle w:val="TableContents"/>
              <w:bidi w:val="0"/>
              <w:spacing w:lineRule="auto" w:line="268" w:before="0" w:after="0"/>
              <w:jc w:val="both"/>
              <w:rPr>
                <w:rFonts w:ascii="Times New Roman;serif" w:hAnsi="Times New Roman;serif"/>
                <w:b/>
                <w:i/>
                <w:color w:val="000000"/>
                <w:sz w:val="16"/>
              </w:rPr>
            </w:pPr>
            <w:r>
              <w:rPr>
                <w:rFonts w:ascii="Times New Roman;serif" w:hAnsi="Times New Roman;serif"/>
                <w:b/>
                <w:i/>
                <w:color w:val="000000"/>
                <w:sz w:val="16"/>
              </w:rPr>
              <w:t>(in thousands)</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Payout of Target</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Less than $52,415</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$52,415</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$56,784</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$61,153</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7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$69,887</w:t>
            </w:r>
          </w:p>
        </w:tc>
        <w:tc>
          <w:tcPr>
            <w:tcW w:w="15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resulting company performance payout was then subject to individual performance modifiers ranging from 0% to 125% based on individual performance ratings, as set forth in the table below.</w:t>
      </w:r>
    </w:p>
    <w:tbl>
      <w:tblPr>
        <w:tblW w:w="4828" w:type="dxa"/>
        <w:jc w:val="left"/>
        <w:tblInd w:w="0" w:type="dxa"/>
        <w:tblLayout w:type="fixed"/>
        <w:tblCellMar>
          <w:top w:w="28" w:type="dxa"/>
          <w:left w:w="28" w:type="dxa"/>
          <w:bottom w:w="28" w:type="dxa"/>
          <w:right w:w="28" w:type="dxa"/>
        </w:tblCellMar>
      </w:tblPr>
      <w:tblGrid>
        <w:gridCol w:w="1005"/>
        <w:gridCol w:w="883"/>
        <w:gridCol w:w="886"/>
        <w:gridCol w:w="601"/>
        <w:gridCol w:w="601"/>
        <w:gridCol w:w="852"/>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Individual Performance Rating</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Performance Modifier</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Exceeds</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Meets</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Below</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7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Unacceptable</w:t>
            </w:r>
          </w:p>
        </w:tc>
        <w:tc>
          <w:tcPr>
            <w:tcW w:w="20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company EBITDA performance goal was achieved at 100% of target. Due to strong performance during the fiscal year, the Board used discretion to increase the individual performance modifiers for our Named Executive Officers as follows: (i) increased to 200% for Mr. Rubiera, (ii) increased to 200% for Mr. Hillman and (iii) increased to 175% for Ms. Harrison, resulting in a total annual performance bonus of $450,000, $400,000 and $96,250, respectively, as set forth in the “Bonus” column and the “Non-Equity Incentive Plan Compensation” column, as applicable, of the Summary Compensation Table above.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Incentive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granted equity incentives to our Named Executive Officers in the form of Series P Units in Topco, which are held through corresponding Incentive Units in Accelevation Management Aggregator LLC and intended to be “profits interests” under U.S. federal income tax law.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Incentive Units are subject to vesting based on performance metrics and the holder’s continued service with us. Incentive Unit grants are generally divided into three tranches: Tranche A Units, Tranche B Units and Tranche C Units. The Tranche A Units generally vest 20% on each of the first five anniversaries of the grant date, subject to annual Adjusted EBITDA performance targets and an IRR of at least 8% upon a change in control. The Tranche B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Units and Tranche C Units vest upon a change in control, subject to investor returns of at least 2.0x and 3.0x of Olympus’ investment, respectively, and an IRR of at least 15% and 20%,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Unvested Incentive Units are automatically forfeited upon termination of employment for any reason. Additionally, vested Incentive Units are also automatically forfeited as follows: (i) 100% upon a voluntary resignation before the second anniversary of the grant date, (ii) 75% upon a voluntary resignation on or after such second anniversary but prior to the fourth anniversary of the grant date and (iii) 50% upon a voluntary resignation thereafter.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their ownership of Incentive Units, our Named Executive Officers are subject to the following restrictive covenants: (i) non-competition and non-solicitation until the later of: (a) the second anniversary of the Incentive Unit holder’s termination date and (b) the last date the Incentive Unit holder receives any severance benefits; (ii) perpetual confidentiality and non-disparagement; and (iii) assignment of intellectual property.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Additional Narrative Disclosure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Employee and Retirement Benefits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provide broad-based health and welfare benefits that are available to our full-time employees, including our Named Executive Officers, including health, life, vision, and dental insurance. In addition, we currently make available a retirement plan intended to provide benefits under Section 401(k) of the Internal Revenue Code (the “Code”), pursuant to which employees (including our Named Executive Officers) may elect to defer a portion of their compensation on a pre-tax basis and have it contributed to the plan. Pre-tax contributions are allocated to each participant’s individual account and are then invested in selected investment alternatives according to the participants’ directions. We provide a safe harbor matching contribution equal to 100% of elective deferrals up to 3% of the participant’s eligible compensation, plus 50% of elective deferrals between 3% and 5% of the participant’s eligible compensation. The safe harbor matching contribution is 100% vested immediately. All contributions under our 401(k) plan are subject to certain annual dollar limitations in accordance with applicable laws, which are periodically adjusted for changes in the cost of living. Other than the 401(k) plan, we do not provide any qualified or non-qualified retirement or deferred compensation benefits to our employees, including our Named Executive Officers.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 in Control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not entitled to cash severance or severance benefits upon their termination from the Company or in the event of a change in control of the Company, but their Incentive Units may vest or be forfeited in connection with a change in control or termination as described above under “Equity Incentive Compensation.”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Actions Taken in Connection with this Offering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Omnibus Incentive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incentivize our employees following the completion of this offering, the Board may adopt an Omnibus Incentive Plan (the “Incentive Plan”), for employees, consultants and directors prior to the completion of this offering. If and when adopted, our Named Executive Officers would be eligible to participate in the Incentive Plan. The Incentive Plan may provide for the grant of options, stock appreciation rights, restricted stock, restricted stock units, performance awards, stock awards, dividend equivalents, other stock-based awards, cash awards and substitute awards intended to align the interests of employees and other service providers, including our Named Executive Officers, with those of our stockholders.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did not have any directors who received compensation for their service on our Board or committees to our Board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implement a non-employee director compensation program that will take effect as of the closing of this offering, the terms of which have not yet been determined as of the date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PRINCIPAL AND SELLING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beneficial ownership of our Class A common stock and Class B common stock as of                    , 2026, after giving effect to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person or group known to us who beneficially owns more than 5% of our Class A common stock or Class B common stock immediately prior to this offering;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of our directors and director nominees;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selling stockholders;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all of our directors, director nominees and executive officers as a group.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numbers of shares of Class A common stock and Class B common stock (together with the same amount of LLC Units) beneficially owned and percentages of beneficial ownership before this offering that are set forth below are based on the number of shares and LLC Units to be issued and outstanding prior to this offering after giving effect to the Organizational Transactions. See “Organizational Structure.” The numbers of shares of Class A common stock and Class B common stock (together with the same amount of LLC Units) beneficially owned and percentages of beneficial ownership after the offering that are set forth below are based on                    shares of Class A common stock to be issued and outstanding immediately after the offering, assuming no exercise by the underwriters of their option to purchase additional shares. This number excludes                    shares of Class A common stock issuable in exchange for LLC Units and upon conversion of shares of our Class B common stock, each as described under “Organizational Structure” and “Certain Relationships and Related Party Transactions—Amended and Restated Operating Agreement.” If all outstanding LLC Units were exchanged and all outstanding shares of Class B common stock were converted, we would have                   shares of Class A common stock outstanding immediately after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Concurrently with this offering, we will issue to the LLC Unitholders                  shares of Class B common stock. The number of shares of Class B common stock will depend in part on the price at which shares of Class A common stock are sold in this offering after the offering. For purposes of the presentation of the total number of shares of Class B common stock beneficially owned, we have assumed that the shares of Class A common stock will be sold at $                     per share, which is the midpoint of the estimated public offering price range set forth on the cover page of this prospectus.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below, the address for each beneficial owner listed on the table is 9555 N. Springboro Pike, Suite 400, Miamisburg, Ohio 45342.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Class A common stock that they beneficially own, subject to applicable community property laws. Beneficial ownership representing less than 1% is denoted with an asterisk (*).</w:t>
      </w:r>
    </w:p>
    <w:tbl>
      <w:tblPr>
        <w:tblW w:w="10243" w:type="dxa"/>
        <w:jc w:val="left"/>
        <w:tblInd w:w="0" w:type="dxa"/>
        <w:tblLayout w:type="fixed"/>
        <w:tblCellMar>
          <w:top w:w="28" w:type="dxa"/>
          <w:left w:w="28" w:type="dxa"/>
          <w:bottom w:w="28" w:type="dxa"/>
          <w:right w:w="28" w:type="dxa"/>
        </w:tblCellMar>
      </w:tblPr>
      <w:tblGrid>
        <w:gridCol w:w="587"/>
        <w:gridCol w:w="307"/>
        <w:gridCol w:w="202"/>
        <w:gridCol w:w="109"/>
        <w:gridCol w:w="109"/>
        <w:gridCol w:w="109"/>
        <w:gridCol w:w="195"/>
        <w:gridCol w:w="195"/>
        <w:gridCol w:w="196"/>
        <w:gridCol w:w="109"/>
        <w:gridCol w:w="109"/>
        <w:gridCol w:w="109"/>
        <w:gridCol w:w="240"/>
        <w:gridCol w:w="240"/>
        <w:gridCol w:w="241"/>
        <w:gridCol w:w="109"/>
        <w:gridCol w:w="109"/>
        <w:gridCol w:w="109"/>
        <w:gridCol w:w="195"/>
        <w:gridCol w:w="195"/>
        <w:gridCol w:w="196"/>
        <w:gridCol w:w="109"/>
        <w:gridCol w:w="109"/>
        <w:gridCol w:w="109"/>
        <w:gridCol w:w="240"/>
        <w:gridCol w:w="240"/>
        <w:gridCol w:w="241"/>
        <w:gridCol w:w="109"/>
        <w:gridCol w:w="109"/>
        <w:gridCol w:w="109"/>
        <w:gridCol w:w="210"/>
        <w:gridCol w:w="210"/>
        <w:gridCol w:w="211"/>
        <w:gridCol w:w="109"/>
        <w:gridCol w:w="109"/>
        <w:gridCol w:w="109"/>
        <w:gridCol w:w="195"/>
        <w:gridCol w:w="195"/>
        <w:gridCol w:w="196"/>
        <w:gridCol w:w="109"/>
        <w:gridCol w:w="109"/>
        <w:gridCol w:w="109"/>
        <w:gridCol w:w="195"/>
        <w:gridCol w:w="195"/>
        <w:gridCol w:w="196"/>
        <w:gridCol w:w="109"/>
        <w:gridCol w:w="109"/>
        <w:gridCol w:w="109"/>
        <w:gridCol w:w="290"/>
        <w:gridCol w:w="290"/>
        <w:gridCol w:w="291"/>
        <w:gridCol w:w="109"/>
        <w:gridCol w:w="109"/>
        <w:gridCol w:w="109"/>
        <w:gridCol w:w="268"/>
        <w:gridCol w:w="268"/>
        <w:gridCol w:w="380"/>
      </w:tblGrid>
      <w:tr>
        <w:trPr/>
        <w:tc>
          <w:tcPr>
            <w:tcW w:w="5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Common Stock Beneficially Owned 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Common Stock Beneficially Owned After this Offering</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2"/>
              </w:rPr>
            </w:pPr>
            <w:r>
              <w:rPr>
                <w:rFonts w:ascii="Times New Roman;serif" w:hAnsi="Times New Roman;serif"/>
                <w:b/>
                <w:color w:val="000000"/>
                <w:sz w:val="12"/>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of Class A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of Class B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 Assuming the Underwriters’ Option Is Not Exercised</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 Assuming the Underwriters’ Option Is Exercised in Full</w:t>
            </w:r>
            <w:r>
              <w:rPr>
                <w:rFonts w:ascii="Times New Roman;serif" w:hAnsi="Times New Roman;serif"/>
                <w:b/>
                <w:color w:val="000000"/>
                <w:sz w:val="8"/>
              </w:rPr>
              <w:t>(1)</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Greater than 5% Stockholders and Selling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Olympus Funds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Named Executive Officers, Directors and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Michael Rubiera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Ericka Harrison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 Boyd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Manu Bettegowda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 Bujor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All executive officers, directors and director nominees as a group (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share of Class A common stock and Class B common stock entitles the registered holder thereof to one vote and each share on all matters presented to stockholders for a vote generally, including the election of directors. The Class A common stock and Class B common stock will vote as a single class on all matters except as required by law or the certificate of incorporation.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(2)Shares of common stock beneficially owned prior to this offering and after this offering (assuming no exercise of the underwriters’ option to purchase additional shares) consist of              shares of Class A common stock held directly by Accelevation Pubco Holdings and            shares of Class B common stock held directly by Investment Holdings. Shares of common stock beneficially owned after this offering (assuming the underwriters exercise their option to purchase additional shares in full) consists of              shares of Class A common stock held directly by Accelevation Pubco Holdings and            shares of Class B common stock held by Investment Holdings. Each share of Class B common stock corresponds to an LLC Unit which is exchangeable for one share of Class A common stock. The principal place of business of each of Accelevation Pubco Holdings and Investment Holdings is Metro Center, 4th Floor, One Station Place, Stamford, CT 09802.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Policies for Approval of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completion of this offering, we intend to adopt a written policy with respect to the review, approval and ratification of related party transactions. Under the policy, our Audit Committee is responsible for reviewing and approving related party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related person’s relationship to us and interest in the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material facts of the proposed transaction, including the proposed aggregate value of the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on a director or a director nominee’s independence in the event the related person is a director or an immediate family member of the director or director nominee;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benefits to us of the proposed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applicable, the availability of other sources of comparable products or services;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assessment of whether the proposed transaction is on terms that are comparable to the terms available to an unrelated third party or to employees generally.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may only approve those transactions that are in, or are not inconsistent with, our best interests and those of our stockholders, as the Audit Committee determines in good faith.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our code of business conduct and ethics, which will be adopted prior to the consummation of this offering, our employees and directors will have an affirmative responsibility to disclose any transaction or relationship that reasonably could be expected to be considered a related party transaction or to give rise to a conflict of interest.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transactions described below were entered into prior to the adoption of our written related party transactions policy (which policy will be adopted prior to the consummation of this offering), but all were approved by our Board considering similar factors to those described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Amended and Restated Operating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amend and restate Holdings LLC’s existing operating agreement, which we refer to as the “LLC Operating Agreement.” The operations of Holdings LLC and the rights and obligations of the LLC Unitholders will be set forth in the LLC Operating Agreement. See “Organizational Structure—Amended and Restated Operating Agreement of Holdings LLC.”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compensation and consulting arrangements for our directors and Named Executive Officers, which are described in “Executive Compensation,” below we describe transactions since January 1, 2023 to which we were a participant or will be a participant, in which:</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amounts involved exceeded or will exceed $120,000;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we intend to enter into a registration rights agreement with our Principal Stockholder. Our Principal Stockholder will be entitled to request that we register their shares of capital stock on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long-form or short-form registration statement on one or more occasions in the future, which registrations may be “shelf registrations.” Our Principal Stockholder will be entitled to participate in certain of our registered offerings, subject to the restrictions in the Registration Rights Agreement. We will pay expenses in connection with the exercise of these rights. The registration rights described in this paragraph apply to (i) shares of our Class A common stock held indirectly by our Principal Stockholder and its affiliates, and (ii) any of our capital stock (or that of our subsidiaries) issued or issuable with respect to the Class A common stock described in clause (i) with respect to any dividend, distribution, recapitalization, reorganization, or certain other corporate transactions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certain Registrable Securities will cease to be Registrable Securities if they can be sold without limitation under Rule 144 of the Securities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Tax Receivable Agreement with the TRA Rights Holders, that will require us to pay such persons          % of the amount of certain tax savings (calculated using certain assumptions), if any, that we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We retain the benefit of the remaining          % of these, if any. If the Tax Receivable Agreement terminates early, we could be required to make a substantial, immediate lump-sum payment. These payment obligations are obligations of Accelevation Holdings Corp. and not of Holdings LLC. See “Organizational Structure—Tax Receivable Agreement.”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this offering, we will enter into a Director Nomination Agreement with Olympus. The Director Nomination Agreement will provide Olympus the right to nominate to the Board a number of designees equal to at least: (i) 100% of the total number of directors comprising the Board, so long as Olympus beneficially owns shares of Class A common stock and Class B common stock representing at least           % of the total amount of shares of Class A common stock and Class B common stock it beneficially owns as of the date of this offering (the “Original Amount”), (ii)            % of the total number of directors, in the event that Olympus beneficially owns shares of Class A common stock and Class B common stock representing at least           % but less than           % of the Original Amount, (iii)            % of the total number of directors, in the event that Olympus beneficially owns shares of Class A common stock and Class B common stock representing at least           % but less than           % of the Original Amount, (iv)            % of the total number of directors, in the event that Olympus beneficially owns shares of Class A common stock and Class B common stock representing at least           % but less than           % of the Original Amount and (v) one director, in the event that Olympus beneficially owns shares of Class A common stock and Class B common stock representing at least           % of the Original Amount. In each case, Olympus’ nominees must comply with applicable law and stock exchange rules. In addition, Olympus shall be entitled to designate the replacement for any of its Board designees whose Board service terminates prior to the end of the director’s term, regardless of Olympus’ beneficial ownership at that time. Olympus shall also have the right to have its designees participate on committees of our Board proportionate to its voting power, subject to compliance with applicable law and stock exchange rules. The Director Nomination Agreement will also prohibit us from increasing or decreasing the size of our Board without the prior written consent of Olympus. This agreement will terminate at such time as Olympus beneficially owns less than          % of the Original Amount.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Advisory Services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Holdings LLC, Accelevation Parent LLC, Accelevation Intermediate LLC, Accelevation Buyer LLC and Accelevation Holding Company entered into that certain Advisory Services Agreement (the “Advisory Services Agreement”) with Olympus Advisors, LLC, an entity affiliated with our Principal Stockholder.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Services Agreement, Olympus provides certain advisory services for a quarterly fee of $250 thousand plus reimbursement of out of pocket expenses. The Company paid approximately $1.0 million and $0.3 million to Olympus under the Advisory Services Agreement for the year ended December 31, 2025 and three months ended March 31, 2026, respectively. Additionally, the Company made an approximately $4.6 million payment to Olympus during the year ended December 31, 2025 for certain transaction costs in connection with Olympus’ acquisition of the Company in January 2025.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Indemnification of Officers and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intend to enter into indemnification agreements with each of our executive officers, directors and director nominees (collectively, the “Indemnification Agreements”). The Indemnification Agreements will provide our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 Insofar as indemnification for liabilities arising under the Securities Act may be permitted to our officers and directors pursuant to the foregoing agreements, we have been advised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CERTAIN INDEBTEDNESS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provisions relating to our material indebtedness. The following summary does not purport to be complete and is subject to, and qualified in its entirety by reference to, the provisions of the corresponding agreement or instrument, including the definitions of certain terms therein that are not otherwise defined in this prospectus. You should refer to the relevant agreement or instrument for additional information, copies of which are filed as exhibits to the registration statement of which this prospectus is a part.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Holdings LLC, as borrower, entered into a credit agreement (as amended to date, the “Credit Agreement”) with MidCap Financial Trust, as administrative agent and collateral agent, and the lenders party thereto, providing for (i) a $200.0 million initial term loan facility (the “Initial Term Loan Facility” and, the loans thereunder, the “Initial Term Loans”), (ii) a $75.0 million delayed draw term loan facility (the “Delayed Draw Term Loan Facility” and, together with the Initial Term Loan Facility, the “Term Loan Facility”) and (iii) a $50.0 million revolving credit facility (the “Revolving Credit Facility”). The proceeds of the Initial Term Loans were used, together with proceeds of an equity investment, to pay consideration in connection with the acquisition of Holdings LLC by our Principal Stockholder, to refinance certain existing indebtedness and to pay certain transaction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we entered into the First Amendment to Credit Agreement, providing for $20.0 million of incremental commitments under the Term Loan Facility and $10.0 million of incremental commitments under the Revolving Credit Facility. The proceeds of the incremental commitments under the Term Loan Facility were used to repay certain outstanding amounts under the Revolving Credit Facility.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13, 2026, we entered into the Third Amendment to Credit Agreement, providing for $40.0 million of additional incremental commitments under the Term Loan Facility. The proceeds of the incremental commitments under the Term Loan Facility were used to repay certain outstanding amounts under the Revolving Credit Facility.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25, 2026, we entered into the Fourth Amendment to Credit Agreement (the “Fourth Amendment”), providing for $346.0 million of additional incremental commitments under the Term Loan Facility (the “Fourth Amendment Term Loan Facility”) and $10.0 million under the Delayed Draw Term Loan Facility (the “Fourth Amendment Delayed Draw Term Loan Facility”). The proceeds of the incremental commitments under the Fourth Amendment Term Loan Facility were used to fund a distribution to unitholders of Topco and to pay certain transaction expenses incurred in connection with the Fourth Amendment. As of June 30, 2026, we had approximately $651.5 million outstanding under our Term Loan Facility and no outstanding borrowings under our Revolving Credit Facility. As of June 30, 2026, the weighted average interest rate for the Term Loan Facility and for amounts drawn under the Revolving Credit Facility was approximately 8.772%.</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Rates and Fees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(other than with respect to borrowings under the Fourth Amendment) accrue daily interest at a per annum rate equivalent to (i) a base rate (“ABR”) plus the applicable margin or (ii) Term SOFR plus the applicable margin, in each case based upon the Consolidated First Lien Secured Debt to Consolidated EBITDA Ratio (as defined and calculated under the Credit Agreement) as of the most recent date of determination. The ABR is the highest of (a) the rate last quoted by The Wall Street Journal as the “Prime Rate,” (b) 1/2 of 1% in excess of the federal funds effective rate and (c) Term SOFR for a one-month interest period plus 1.00% per annum; provided that in no event shall the ABR be less than 2.00% per annum. </w:t>
      </w:r>
    </w:p>
    <w:tbl>
      <w:tblPr>
        <w:tblW w:w="8263" w:type="dxa"/>
        <w:jc w:val="left"/>
        <w:tblInd w:w="0" w:type="dxa"/>
        <w:tblLayout w:type="fixed"/>
        <w:tblCellMar>
          <w:top w:w="28" w:type="dxa"/>
          <w:left w:w="28" w:type="dxa"/>
          <w:bottom w:w="28" w:type="dxa"/>
          <w:right w:w="28" w:type="dxa"/>
        </w:tblCellMar>
      </w:tblPr>
      <w:tblGrid>
        <w:gridCol w:w="185"/>
        <w:gridCol w:w="162"/>
        <w:gridCol w:w="164"/>
        <w:gridCol w:w="1698"/>
        <w:gridCol w:w="1698"/>
        <w:gridCol w:w="1703"/>
        <w:gridCol w:w="289"/>
        <w:gridCol w:w="289"/>
        <w:gridCol w:w="291"/>
        <w:gridCol w:w="521"/>
        <w:gridCol w:w="521"/>
        <w:gridCol w:w="742"/>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First Lien Secured Debt to Consolidated EBITDA Ratio</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ABR Loan</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Benchmark Rate Loan</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Greater than 4.50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4.50 to 1.00 and greater than 4.00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5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4.00 to 1.00</w:t>
            </w:r>
          </w:p>
        </w:tc>
        <w:tc>
          <w:tcPr>
            <w:tcW w:w="8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17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Term Loans under the Fourth Amendment (“Fourth Amendment Term Loans”) and Delayed Draw Term Loans under the Fourth Amendment (“Fourth Amendment Delayed Draw Term Loans”) accrue daily interest at a per annum rate equivalent to (i) ABR plus the applicable margin or (ii) Term SOFR plus the applicable margin, in each case based upon the Consolidated First Lien Secured Debt to Consolidated EBITDA Ratio (as calculated under the Credit Agreement) as of the most recent date of determination.</w:t>
      </w:r>
    </w:p>
    <w:tbl>
      <w:tblPr>
        <w:tblW w:w="8263" w:type="dxa"/>
        <w:jc w:val="left"/>
        <w:tblInd w:w="0" w:type="dxa"/>
        <w:tblLayout w:type="fixed"/>
        <w:tblCellMar>
          <w:top w:w="28" w:type="dxa"/>
          <w:left w:w="28" w:type="dxa"/>
          <w:bottom w:w="28" w:type="dxa"/>
          <w:right w:w="28" w:type="dxa"/>
        </w:tblCellMar>
      </w:tblPr>
      <w:tblGrid>
        <w:gridCol w:w="185"/>
        <w:gridCol w:w="162"/>
        <w:gridCol w:w="164"/>
        <w:gridCol w:w="1698"/>
        <w:gridCol w:w="1698"/>
        <w:gridCol w:w="1703"/>
        <w:gridCol w:w="289"/>
        <w:gridCol w:w="289"/>
        <w:gridCol w:w="291"/>
        <w:gridCol w:w="521"/>
        <w:gridCol w:w="521"/>
        <w:gridCol w:w="742"/>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First Lien Secured Debt to Consolidated EBITDA Ratio</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ABR Loan</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Benchmark Rate Loan</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Greater than 4.50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4.50 to 1.00 and greater than 4.00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5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4.00 to 1.00</w:t>
            </w:r>
          </w:p>
        </w:tc>
        <w:tc>
          <w:tcPr>
            <w:tcW w:w="8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17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Mandatory Prepayments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make mandatory prepayments on the Term Loan Facility under certain circumstances, including (i) upon the occurrence of certain asset sales or casualty events (subject to customary reinvestment rights and a threshold amount), (ii) upon the receipt of proceeds from indebtedness not permitted to be incurred and (iii) when Excess Cash Flow (as calculated under the Credit Agreement) is generated during any fiscal year in excess of the greater of $4 million and 10% of Consolidated EBITDA (as calculated under the Credit Agreement).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Final Maturity and Amortization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payments on the Initial Term Loans and Delayed Draw Term Loans are paid on the last business day of March, June, September and December, commencing with the fiscal quarter ending on September 30, 2025, in an amount equal to 0.25% per quarter of the original principal amount of such loans, except that principal payments on the Fourth Amendment Term Loans and Fourth Amendment Delayed Draw Term Loans are paid on the last business day of March, June, September and December, commencing with the fiscal quarter ending on December 31, 2026, in an amount equal to 0.25% per quarter of the original principal amount of such loans. The Term Loan Facility and the Revolving Credit Facility have a maturity date of January 2, 2031.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Guarantors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Credit Agreement are guaranteed by Accelevation Intermediate LLC, Accelevation Buyer LLC and certain other parent guarantors, as well as certain of Holdings LLC’s existing and future direct and indirect wholly owned domestic subsidiaries.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Security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Credit Agreement are secured, subject to permitted liens and other exceptions, by first-priority perfected security interests in substantially all of Holdings LLC’s and the guarantors’ assets.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Certain Covenants, Representations and 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representations and warranties, affirmative covenants and negative covenants. The negative covenants restrict Holdings LLC and its subsidiaries’ ability to, among other things, and subject to certain exceptions set forth in the Credit Agreement: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incur additional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create liens;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restricted payments, including paying dividends or distributions on equity interests;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engage in mergers, consolidations and other fundamental changes;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sell, lease, assign, transfer or otherwise dispose of assets;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prepayments of junior debt;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enter into restrictions on subsidiary distributions or negative pledge clauses;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engage in transactions with affiliates;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changes in the nature of the business;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amend organizational documents or certain junior debt.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a financial covenant that requires that Holdings LLC shall not permit the Consolidated Total Debt to Consolidated EBITDA Ratio (as calculated under the Credit Agreement) to exceed 8.50 to 1.00 as of the last day of any relevant test period and commencing with the fiscal quarter ending June 30,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includes customary cure provisions that permit Holdings LLC to cure defaults in respect of its financial covenants.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customary events of default, including, without limitation, nonpayment of principal, interest or other obligations, violation of covenants, material inaccuracy of representations and warranties, cross-defaults under certain other material indebtedness, certain events of bankruptcy, material judgments, invalidity of any guarantee or security document, loss of perfected lien on the collateral and certain changes of control. The lenders under the Credit Agreement are permitted to accelerate the loans and terminate commitments thereunder or exercise other remedies upon the occurrence of certain events of default, subject to grace periods and exceptions.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amended and restated certificate of incorporation (our “certificate of incorporation”) and our amended and restated bylaws (our “bylaws”), as each will be in effect at or prior to the consummation of this offering. The following description may not contain all of the information that is important to you. To understand the material terms of our Class A common stock, you should read our amended and restated certificate of incorporation and amended and restated bylaws that will be in effect at the closing of this offering, copies of which are or will be filed with the SEC as exhibits to the registration statement of which this prospectus is a part.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or prior to the consummation of this offering, we will file our certificate of incorporation, and we will adopt our by-laws. Our certificate of incorporation will authorize capital stock consisting of: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Class A common stock, par value $                      per share;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Class B common stock, par value $                      per share;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preferred stock, with a par value per share that may be established by the Board in the applicable certificate of designations.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selling                    shares of Class A common stock in this offering. All shares of our Class A common stock outstanding upon consummation of this offering will be fully paid and non-assessable. We are issuing                    shares of Class B common stock to the LLC Unitholders simultaneously with this offering (or                       shares if the underwriters exercise their option to purchase additional shares in full). Upon completion of this offering, we expect to have                    shares of Class A common stock outstanding (or                      shares if the underwriters exercise their option to purchase additional shares in full) and                    shares of Class B common stock outstanding (or                      shares if the underwriters exercise their option to purchase additional shares in full).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describes the material provisions of our capital stock and is qualified in its entirety by reference to the certificate of incorporation and our bylaws and to the applicable provisions of the DGCL. We urge you to read our certificate of incorporation and our bylaws, which are included as exhibits to the registration statement of which this prospectus forms a part.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of our certificate of incorporation and our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will vote together with holders of our Class B common stock as a single class on all matters presented to our stockholders for their vote or approval, except for certain amendments to our certificate of incorporation described below or as otherwise required by applicable law or our certificate of incorporation.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our dissolution or liquidation or the sale of all or substantially all of our assets,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do not have preemptive, subscription, redemption or conversion rights. There will be no redemption or sinking fund provisions applicable to the Class A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Class B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are entitled to one vote for each share held of record on all matters submitted to a vote of stockholders. The holders of our Class B common stock do not have cumulative voting rights in the election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will vote together with holders of our Class A common stock as a single class on all matters presented to our stockholders for their vote or approval, except for certain amendments to our certificate of incorporation described below or as otherwise required by applicable law or our certificate of incorporation.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any right to receive dividends or to receive a distribution upon dissolution or liquidation or the sale of all or substantially all of our assets. Additionally, holders of shares of our Class B common stock do not have preemptive, subscription, redemption or conversion rights. There will be no redemption or sinking fund provisions applicable to the Class B common stock. Any amendment of our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this offering, the LLC Unitholders will own 100% of our outstanding Class B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this offering, we will have no shares of preferred stock outstanding.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our certificate of incorporation that will become effective at or prior to the consummation of this offering, our Board is authorized to direct us to issue shares of preferred stock in one or more series without stockholder approval. Our Board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Forum Selection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will provide that, unless we consent in writing to the selection of an alternative forum, the Court of Chancery of the State of Delaware (or, if the Court of Chancery does not have jurisdiction, the United States District Court for the District of Delaware) will be the sole and exclusive forum for any state court action for (i) any derivative action or proceeding brought on our behalf, (ii) any action asserting a claim of breach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fiduciary duty owed by any of our directors, officers or other employees to us or our stockholders, (iii) any action asserting a claim against the Company or any director or officer of the Company arising pursuant to any provision of the DGCL, our certificate of incorporation or our bylaws or (iv) any other action asserting a claim against the Company or any director or officer of the Company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will be deemed to have notice of and to have consented to the provisions of our certificate of incorporation described above; provided, however, that stockholders will not be deemed to have waived our compliance with the federal securities laws and the rules and regulations thereunder. Although we believe these provisions benefit us by providing increased consistency in the application of Delaware law for the specified types of actions and proceedings, the provisions may have the effect of discouraging lawsuits against us or our directors and officers. Additionally, the forum selection clause in our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of America will, unless consented to in writing and to the fullest extent permitted by law, be the sole and exclusive forum for resolving any complaint asserting a cause of action arising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Class A Common Stock and This Offering—Our certificate of incorporation will designate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stockholder value in connection with any unsolicited offer to acquire us. In certain instances outlined below, these provisions do not take effect until Olympus’ beneficial ownership of our Class A common stock drops below a certain percentage. As a result, the anti-takeover effect of these provisions is expected to increase over time as Olympus’ beneficial ownership decreases. In each instance, these changes will occur automatically pursuant to the terms of our certificate and bylaws and without further action by our Board or stockholders upon Olympus’ ownership crossing the applicable thresholds.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include:</w:t>
      </w:r>
    </w:p>
    <w:p>
      <w:pPr>
        <w:pStyle w:val="TextBody"/>
        <w:bidi w:val="0"/>
        <w:spacing w:lineRule="auto" w:line="288" w:before="160" w:after="283"/>
        <w:ind w:left="0" w:right="0" w:firstLine="360"/>
        <w:jc w:val="both"/>
        <w:rPr/>
      </w:pPr>
      <w:r>
        <w:rPr>
          <w:rFonts w:ascii="Times New Roman;serif" w:hAnsi="Times New Roman;serif"/>
          <w:b/>
          <w:i/>
          <w:color w:val="000000"/>
          <w:sz w:val="20"/>
        </w:rPr>
        <w:t>Classified Board.</w:t>
      </w:r>
      <w:r>
        <w:rPr>
          <w:color w:val="000000"/>
        </w:rPr>
        <w:t xml:space="preserve"> </w:t>
      </w:r>
      <w:r>
        <w:rPr>
          <w:rFonts w:ascii="Times New Roman;serif" w:hAnsi="Times New Roman;serif"/>
          <w:b w:val="false"/>
          <w:color w:val="000000"/>
          <w:sz w:val="20"/>
        </w:rPr>
        <w:t xml:space="preserve">Our certificate of incorporation will provide that our Board will be divided into three classes of directors, with the classes as nearly equal in number as possible, and with the directors serving three-year terms. As a result, approximately one-third of our Board will be elected each year. The classification of the directors will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have the effect of making it more difficult for stockholders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our Board. Upon completion of this offering, we expect that our Board will have                    members.</w:t>
      </w:r>
    </w:p>
    <w:p>
      <w:pPr>
        <w:pStyle w:val="TextBody"/>
        <w:bidi w:val="0"/>
        <w:spacing w:lineRule="auto" w:line="288" w:before="160" w:after="283"/>
        <w:ind w:left="0" w:right="0" w:firstLine="360"/>
        <w:jc w:val="both"/>
        <w:rPr/>
      </w:pPr>
      <w:r>
        <w:rPr>
          <w:rFonts w:ascii="Times New Roman;serif" w:hAnsi="Times New Roman;serif"/>
          <w:b/>
          <w:i/>
          <w:color w:val="000000"/>
          <w:sz w:val="20"/>
        </w:rPr>
        <w:t>Stockholder Action by Written Consent.</w:t>
      </w:r>
      <w:r>
        <w:rPr>
          <w:color w:val="000000"/>
        </w:rPr>
        <w:t xml:space="preserve"> </w:t>
      </w:r>
      <w:r>
        <w:rPr>
          <w:rFonts w:ascii="Times New Roman;serif" w:hAnsi="Times New Roman;serif"/>
          <w:b w:val="false"/>
          <w:color w:val="000000"/>
          <w:sz w:val="20"/>
        </w:rPr>
        <w:t>Our certificate of incorporation will preclude stockholder action by written consent at any time when Olympus controls, in the aggregate, less than          % in voting power of our outstanding common stock.</w:t>
      </w:r>
    </w:p>
    <w:p>
      <w:pPr>
        <w:pStyle w:val="TextBody"/>
        <w:bidi w:val="0"/>
        <w:spacing w:lineRule="auto" w:line="288" w:before="160" w:after="283"/>
        <w:ind w:left="0" w:right="0" w:firstLine="360"/>
        <w:jc w:val="both"/>
        <w:rPr/>
      </w:pPr>
      <w:r>
        <w:rPr>
          <w:rFonts w:ascii="Times New Roman;serif" w:hAnsi="Times New Roman;serif"/>
          <w:b/>
          <w:i/>
          <w:color w:val="000000"/>
          <w:sz w:val="20"/>
        </w:rPr>
        <w:t>Special Meetings of Stockholders.</w:t>
      </w:r>
      <w:r>
        <w:rPr>
          <w:color w:val="000000"/>
        </w:rPr>
        <w:t xml:space="preserve"> </w:t>
      </w:r>
      <w:r>
        <w:rPr>
          <w:rFonts w:ascii="Times New Roman;serif" w:hAnsi="Times New Roman;serif"/>
          <w:b w:val="false"/>
          <w:color w:val="000000"/>
          <w:sz w:val="20"/>
        </w:rPr>
        <w:t>Our certificate of incorporation and bylaws will provide that, except as required by law, special meetings of our stockholders may be called at any time only by or at the direction of our Board or the chair of our Board; provided, however, at any time when Olympus controls, in the aggregate, at least          % in voting power of the stock of the Company entitled to vote generally in the election of directors, special meetings of our stockholders shall also be called by our Board or the chair of our Board at the request of Olympus. Our bylaws will prohibit the conduct of any business at a special meeting other than as specified in the notice for such meeting. These provisions may have the effect of deferring, delaying or discouraging hostile takeovers, or changes in control or management of us.</w:t>
      </w:r>
    </w:p>
    <w:p>
      <w:pPr>
        <w:pStyle w:val="TextBody"/>
        <w:bidi w:val="0"/>
        <w:spacing w:lineRule="auto" w:line="288" w:before="160" w:after="283"/>
        <w:ind w:left="0" w:right="0" w:firstLine="360"/>
        <w:jc w:val="both"/>
        <w:rPr/>
      </w:pPr>
      <w:r>
        <w:rPr>
          <w:rFonts w:ascii="Times New Roman;serif" w:hAnsi="Times New Roman;serif"/>
          <w:b/>
          <w:i/>
          <w:color w:val="000000"/>
          <w:sz w:val="20"/>
        </w:rPr>
        <w:t>Advance Notice Procedures.</w:t>
      </w:r>
      <w:r>
        <w:rPr>
          <w:color w:val="000000"/>
        </w:rPr>
        <w:t xml:space="preserve"> </w:t>
      </w:r>
      <w:r>
        <w:rPr>
          <w:rFonts w:ascii="Times New Roman;serif" w:hAnsi="Times New Roman;serif"/>
          <w:b w:val="false"/>
          <w:color w:val="000000"/>
          <w:sz w:val="20"/>
        </w:rPr>
        <w:t>Our bylaws will establish advance notice procedures for stockholder proposals to be brought before an annual meeting of our stockholders, including proposed nominations of persons for election to our Board or a committee of our Board, and provided, however, that at any time when Olympus controls, in the aggregate, at least          % of the voting power of the stock of the Company entitled to vote generally in the election of directors, such advance notice procedure will not apply to Olympus. Stockholders at an annual meeting will only be able to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our Board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These provisions do not apply to nominations by Olympus pursuant to the Director Nomination Agreement.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pPr>
      <w:r>
        <w:rPr>
          <w:rFonts w:ascii="Times New Roman;serif" w:hAnsi="Times New Roman;serif"/>
          <w:b/>
          <w:i/>
          <w:color w:val="000000"/>
          <w:sz w:val="20"/>
        </w:rPr>
        <w:t>Removal of Directors; Vacancies.</w:t>
      </w:r>
      <w:r>
        <w:rPr>
          <w:color w:val="000000"/>
        </w:rPr>
        <w:t xml:space="preserve"> </w:t>
      </w:r>
      <w:r>
        <w:rPr>
          <w:rFonts w:ascii="Times New Roman;serif" w:hAnsi="Times New Roman;serif"/>
          <w:b w:val="false"/>
          <w:color w:val="000000"/>
          <w:sz w:val="20"/>
        </w:rPr>
        <w:t>Our certificate of incorporation will provide that directors may be removed with or without cause upon the affirmative vote of a majority in voting power of all outstanding shares of stock entitled to vote thereon, voting together as a single class; provided, however, at any time when Olympus controls less than          % in voting power of the stock of the Company entitled to vote generally in the election of directors, directors may only be removed for cause, and only by the affirmative vote of holders of at least 66 2/3% in voting power of all the then-outstanding shares of capital stock of the Company entitled to vote thereon, voting together as a single class. In addition, our certificate of incorporation will provide that, subject to the rights granted to one or more series of preferred stock then outstanding, any newly created directorship on our Board that results from an increase in the number of directors and any vacancies on our Board will be filled only by the affirmative vote of a majority of the remaining directors, even if less than a quorum, by a sole remaining director or by the stockholders; provided, however, at any time when Olympus beneficially owns, in the aggregate, less than          % in voting power of the stock of the Company entitled to vote generally in the election of directors, any newly created directorship on our Board that results from an increase in the number of directors and any vacancy occurring on our Board may only be filled by a majority of the directors then in office, even if less than a quorum, or by a sole remaining director (and not by the stockholders).</w:t>
      </w:r>
    </w:p>
    <w:p>
      <w:pPr>
        <w:pStyle w:val="TextBody"/>
        <w:bidi w:val="0"/>
        <w:spacing w:lineRule="auto" w:line="288" w:before="160" w:after="283"/>
        <w:ind w:left="0" w:right="0" w:firstLine="360"/>
        <w:jc w:val="both"/>
        <w:rPr/>
      </w:pPr>
      <w:r>
        <w:rPr>
          <w:rFonts w:ascii="Times New Roman;serif" w:hAnsi="Times New Roman;serif"/>
          <w:b/>
          <w:i/>
          <w:color w:val="000000"/>
          <w:sz w:val="20"/>
        </w:rPr>
        <w:t>Supermajority Approval Requirements.</w:t>
      </w:r>
      <w:r>
        <w:rPr>
          <w:color w:val="000000"/>
        </w:rPr>
        <w:t xml:space="preserve"> </w:t>
      </w:r>
      <w:r>
        <w:rPr>
          <w:rFonts w:ascii="Times New Roman;serif" w:hAnsi="Times New Roman;serif"/>
          <w:b w:val="false"/>
          <w:color w:val="000000"/>
          <w:sz w:val="20"/>
        </w:rPr>
        <w:t xml:space="preserve">Our certificate of incorporation and bylaws will provide that our Board is expressly authorized to make, alter, amend, change, add to, rescind or repeal, in whole or in part, our bylaws without a stockholder vote in any matter not inconsistent with the laws of the State of Delaware and our certificate of incorporation. For as long as Olympus controls, in the aggregate, at least          % in voting power of the stock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entitled to vote generally in the election of directors, any amendment, alteration, rescission or repeal of our bylaws by our stockholders will require the affirmative vote of a majority in voting power of the outstanding shares of our stock entitled to vote on such amendment, alteration, change, addition, rescission or repeal. At any time when Olympus controls, in the aggregate, less than          % in voting power of our outstanding shares of the stock of the Company entitled to vote generally in the election of directors, any amendment, alteration, rescission or repeal of our bylaws by our stockholders will require the affirmative vote of the holders of at least 66 2/3% in voting power of all the then-outstanding shares of stock of the Company entitled to vote thereon, voting together as a single class.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outstanding shares entitled to vote thereon, voting together as a single class, is required to amend a corporation’s certificate of incorporation, unless our certificate of incorporation requires a greater percentage.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provide that at any time when Olympus beneficially owns, in the aggregate, less than          % in voting power of the stock of the Company entitled to vote generally in the election of directors, the following provisions in our certificate of incorporation may be amended, altered, repealed or rescinded only by the affirmative vote of the holders of at least 66 2/3% (as opposed to a majority threshold that would apply if Olympus beneficially owns, in the aggregate,          % or more) in voting power of all the then-outstanding shares of stock of the Company entitled to vote thereon, voting together as a single class: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requiring a 66 2/3% supermajority vote for stockholders to amend our bylaws;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providing for a classified board of directors (the election and term of our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resignation and removal of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entering into business combinations with interested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stockholder action by written consent;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calling special meetings of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filling vacancies on our Board and newly created directorships;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establishing the Court of Chancery of the State of Delaware as the exclusive forum for certain litigation;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establishing the federal district courts of the United States as the exclusive forum for litigation arising under the Securities Act;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eliminating monetary damages for breaches of fiduciary duty by a director;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amendment provision requiring that the above provisions be amended only with a 66 2/3% supermajority vote.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combination of the classification of our Board, the lack of cumulative voting and the supermajority voting requirements will make it more difficult for our existing stockholders to replace our Board as well as for another party to obtain control of us by replacing our Board. Because our Board has the power to retain and discharge our officers, these provisions could also make it more difficult for existing stockholders or another party to effect a change in management.</w:t>
      </w:r>
    </w:p>
    <w:p>
      <w:pPr>
        <w:pStyle w:val="TextBody"/>
        <w:bidi w:val="0"/>
        <w:spacing w:lineRule="auto" w:line="288" w:before="160" w:after="283"/>
        <w:ind w:left="0" w:right="0" w:firstLine="360"/>
        <w:jc w:val="both"/>
        <w:rPr/>
      </w:pPr>
      <w:r>
        <w:rPr>
          <w:rFonts w:ascii="Times New Roman;serif" w:hAnsi="Times New Roman;serif"/>
          <w:b/>
          <w:i/>
          <w:color w:val="000000"/>
          <w:sz w:val="20"/>
        </w:rPr>
        <w:t>Authorized but Unissued Shares.</w:t>
      </w:r>
      <w:r>
        <w:rPr>
          <w:color w:val="000000"/>
        </w:rPr>
        <w:t xml:space="preserve"> </w:t>
      </w:r>
      <w:r>
        <w:rPr>
          <w:rFonts w:ascii="Times New Roman;serif" w:hAnsi="Times New Roman;serif"/>
          <w:b w:val="false"/>
          <w:color w:val="000000"/>
          <w:sz w:val="20"/>
        </w:rPr>
        <w:t xml:space="preserve">Our authorized but unissued shares of common stock and preferred stock will be available for future issuance without stockholder approval, subject to stock exchange rules. These additional shares of capital stock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of capital stock to persons friendly to current management, which issuance could render more difficult or discourage an attempt to obtain control of the Company by means of a merger, tender offer, proxy contest or otherwise, and thereby protect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continuity of our management and possibly deprive our stockholders of opportunities to sell their shares of common stock at prices higher than prevailing market prices.</w:t>
      </w:r>
    </w:p>
    <w:p>
      <w:pPr>
        <w:pStyle w:val="TextBody"/>
        <w:bidi w:val="0"/>
        <w:spacing w:lineRule="auto" w:line="288" w:before="160" w:after="283"/>
        <w:ind w:left="0" w:right="0" w:firstLine="360"/>
        <w:jc w:val="both"/>
        <w:rPr/>
      </w:pPr>
      <w:r>
        <w:rPr>
          <w:rFonts w:ascii="Times New Roman;serif" w:hAnsi="Times New Roman;serif"/>
          <w:b/>
          <w:i/>
          <w:color w:val="000000"/>
          <w:sz w:val="20"/>
        </w:rPr>
        <w:t>Business Combinations.</w:t>
      </w:r>
      <w:r>
        <w:rPr>
          <w:color w:val="000000"/>
        </w:rPr>
        <w:t xml:space="preserve"> </w:t>
      </w:r>
      <w:r>
        <w:rPr>
          <w:rFonts w:ascii="Times New Roman;serif" w:hAnsi="Times New Roman;serif"/>
          <w:b w:val="false"/>
          <w:color w:val="000000"/>
          <w:sz w:val="20"/>
        </w:rPr>
        <w:t>Upon completion of this offering, we will not be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 203, a business combination between a corporation and an interested stockholder is prohibited unless it satisfies one of the following conditions: (i) before the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an interested stockholder, the business combination was approved by the board of directors and authorized at an annual or special meeting of the stockholders by the affirmative vote of at least 66 2/3% of the outstanding voting stock which is not owned by the interested stockholder.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opt out of Section 203; however, our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 to such time, our Board approved either the business combination or the transaction which resulted in the stockholder becoming an interested stockholder;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at or subsequent to that time, the business combination is approved by our Board and by the affirmative vote of holders of at least 66 2/3% of our outstanding voting stock that is not owned by the interested stockholder.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this provision will make it more difficult for a person who would be an “interested stockholder” to effect various business combinations with us for a three-year period. This provision may encourage companies interested in acquiring the Company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provide that Olympus, and any of its direct or indirect transferees and any group as to which such persons are a party, do not constitute “interested stockholders” for purposes of this provision.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DGCL authorizes corporations to limit or eliminate the personal liability of directors to corporations and their stockholders for monetary damages for breaches of directors’ fiduciary duties, subject to certain exceptions. Our certificate of incorporation will include a provision that eliminates the personal liability of directors for monetary damages for any breach of fiduciary duty as a director or officer,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or officer for breach of fiduciary duty as a director or officer,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will provide that we must indemnify and advance expenses to our directors and officers to the fullest extent authorized by the DGCL. We also will be expressly authorized to carry director and officer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limitation of liability, indemnification and advancement provisions that will be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no pending material litigation or proceeding involving any of our directors, officers or employees for which indemnification is sought.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Corporate Opportunity Doctrine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Delaware law permits corporations to adopt provisions renouncing any interest or expectancy in certain opportunities that are presented to the corporation or its officers, directors or stockholders. Our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certain of our officers, directors or stockholders or their respective affiliates, other than those officers, directors, stockholders or affiliates who are our or our subsidiaries’ employees. Our certificate of incorporation will provide that, to the fullest extent permitted by law, none of Olympus or any director who is not employed by us (including any non-employee director who serves as one of our officers in both his or her director and officer capacities) or its,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Olympus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will not renounce our interest in any business opportunity that is expressly offered to a non-employee director solely in his or her capacity as a director or officer of Accelevation Holdings Corp.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Dissenters’ Rights of Appraisal and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with certain exceptions, our stockholders will have appraisal rights in connection with a merger or consolidation of Accelevation Holdings Corp. Pursuant to the DGCL, stockholders who properly request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perfect appraisal rights in connection with such merger or consolidation will have the right to receive payment of the fair value of their shares of capital stock as determined by the Delaware Court of Chancery.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Stockholders’ Derivative 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DGCL, any of our stockholders may bring an action in our name to procure a judgment in our favor, also known as a derivative action, provided that the stockholder bringing the action is a holder of our shares of capital stock at the time of the transaction to which the action relates or such stockholder’s stock thereafter devolved by operation of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Class A common stock will be                    . The transfer agent’s address is                    and its phone number is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apply to list our Class A common stock on                    under the trading symbol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SHARES ELIGIBLE FOR FUTURE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this offering, there has been no public market for our Class A common stock. Future sales of substantial amounts of our Class A common stock in the public market (including shares of our Class A common stock issuable upon redemption or exchange of LLC Units), or the perception that such sales may occur, could adversely affect the prevailing market price of our Class A common stock. No prediction can be made as to the effect, if any, future sales of shares, or the availability of shares for future sales, will have on the prevailing market price of our Class A common stock from time to time. The number of shares available for future sale in the public market is subject to legal and contractual restrictions, some of which are described below. The expiration of these restrictions will permit sales of substantial amounts of our Class A common stock in the public market, or could create the perception that these sales may occur, which could adversely affect the prevailing market price of our Class A common stock. These factors could also make it more difficult for us to raise funds through future offerings of Class A common stock or other equity or equity-linked securities.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 of Restricted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will have                    pro forma shares of Class A common stock outstanding as of                       , 2026 (or                       pro forma shares as of                       , 2026 if the underwriters exercise their option to purchase additional shares in full). Of these shares of Class A common stock, the                    shares of Class A common stock being sold in this offering, plus any shares sold upon exercise of the underwriters’ option to purchase additional shares, will be freely tradable without restriction under the Securities Act, except for any such shares which may be held or acquired by an “affiliate” of ours, as that term is defined in Rule 144 promulgated under the Securities Act (“Rule 144”), which shares will be subject to the volume limitations and other restrictions of Rule 144 described below. The remaining                    shares of Class A common stock (or                    shares of Class A common stock, including shares of Class A common stock issuable upon redemption or exchange of the LLC Units, as described below) will be “restricted securities,” as that phrase is defined in Rule 144, and may be resold only after registration under the Securities Act or pursuant to an exemption from such registration, including, among others, the exemptions provided by Rule 144 and Rule 701 under the Securities Act, which rules are summarized below. These remaining shares of Class A common stock that will be outstanding upon completion of this offering will be available for sale in the public market after the expiration of market stand-off agreements with us and the lock-up agreements described in “Underwriting,” taking into account the provisions of Rule 144 and Rule 701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Exchange Agreement, the LLC Unitholders, including our Principal Stockholder, may from time to time after the consummation of this offering, exchange their LLC Units for shares of Class A common stock on a one-for-one basis, or, at our election, for cash, from a substantially concurrent public offering or private sale (based on the price of our Class A common stock in such public offering or private sale). The LLC Unitholders will also be required to deliver to us a number of shares of Class B common stock equivalent to the number of shares of Class A common stock being exchanged to effectuate an exchange. Any shares of Class B common stock so delivered will be cancelled. Upon consummation of this offering, the LLC Unitholders will hold                    LLC Units, all of which will be exchangeable for shares of our Class A common stock or, at our election, for cash from a substantially concurrent public offering or private sale (based on the price of our Class A common stock in such public offering or private sale). The shares of Class A common stock we issue upon such exchanges would be “restricted securities” as defined in Rule 144 unless we register such issuances. However, we intend to enter into a Registration Rights Agreement with our Principal Stockholder that will require us to register these shares of Class A common stock, subject to certain conditions. See “—Registration Rights Agreement” and “Certain Relationships and Related Party Transactions—Registration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LLC Operating Agreement, except pursuant to a valid exchange under the terms of the Exchange Agreement, all of the LLC Units received by the LLC Unitholders in the Organizational Transactions will be subject to restrictions on disposition.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144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Persons who became the beneficial owner of shares of our Class A common stock prior to the completion of this offering may not sell their shares until the earlier of (x) the expiration of a six-month holding period, if we have been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subject to the reporting requirements of the Exchange Act and have filed all required reports for at least 90 days prior to the date of the sale, or (y) a one-year holding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expiration of the six-month holding period, a person who was not one of our affiliates at any time during the three months preceding a sale would be entitled to sell an unlimited number of shares of our Class A common stock provided current public information about us is available, and a person who was one of our affiliates at any time during the three months preceding a sale would be entitled to sell within any three-month period only a number of shares of Class A common stock that does not exceed the greater of either of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1% of the number of shares of our Class A common stock then outstanding, which will equal approximately                    shares immediately after this offering, based on the number of shares of our Class A common stock outstanding after completion of this offering;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average weekly trading volume of our Class A common stock during the four calendar weeks preceding the filing of a notice on Form 144 with respect to the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expiration of the one-year holding period, a person who was not one of our affiliates at any time during the three months preceding a sale would be entitled to sell an unlimited number of shares of our Class A common stock without restriction. A person who was one of our affiliates at any time during the three months preceding a sale would remain subject to the volume restrictions described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under Rule 144 by our affiliates are also subject to manner of sale provisions and notice requirements and to the availability of current public information about us. The sale of these shares, or the perception that sales will be made, could adversely affect the price of our Class A common stock after this offering.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701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under Rule 701, any of our employees, directors or officers who acquired shares from us in connection with a compensatory stock or option plan or other compensatory written agreement before the effective date of this offering are, subject to applicable lock-up restrictions, eligible to resell such shares in reliance upon Rule 144 beginning 90 days after the date of this prospectus. If such person is not an affiliate and was not our affiliate at any time during the preceding three months, the sale may be made subject only to the manner-of-sale restrictions of Rule 144. If such a person is an affiliate, the sale may be made under Rule 144 without compliance with the holding period requirements under Rule 144, but subject to the other Rule 144 restrictions described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Stock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file one or more registration statements on Form S-8 under the Securities Act to register shares of our Class A common stock issued or reserved for issuance under the 2026 Plan. The first such registration statement is expected to be filed soon after the date of this prospectus and will automatically become effective upon filing with the SEC.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Lock-Up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each of our officers and directors, the selling stockholders and other stockholders and optionholders owning substantially all of our Class A common stock and options or other securities to acquire Class A common stock have agreed that, without the prior written consent of the representatives on behalf of the underwriters, we and they will not, subject to limited exceptions, directly or indirectly sell or dispose of any of the shares of Class A common stock or securities convertible into or exchangeable for, or that represent the right to receive, shares of common stock, including LLC Units, during the period from the date of the first public filing of the registration statement on Form S-1 filed in connection with this offering continuing through the date that is 180 days after the date of this prospectus. The lock-up restrictions and specified exceptions are described in more detail under “Underwriting.”                       may, in their discretion, release all or any portion of the securities subject to these lock-up agreements. See “Underwriting.”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consummation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lock-up periods set forth in the agreements described above, and assuming that                      do not release any parties from these agreements, all of the shares of our Class A common stock that are restricted securities or are held by our affiliates as of the date of this prospectus will be eligible for sale in the public market in compliance with Rule 144 under the Securities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shares of Class A common stock (including shares issuable to it upon exchange of its LLC Units). The Registration Rights Agreement will also provide for piggyback registration rights for our Principal Stockholder. See “Certain Relationships and Related Party Transactions—Registration Rights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MATERIAL U.S. FEDERAL INCOME TAX CONSEQUENCES TO NON-U.S. 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certain material U.S. federal income tax consequences to Non-U.S. Holders (as defined below) of the purchase, ownership and disposition of our Class A common stock issued pursuant to this offering, but does not purport to be a complete analysis of all potential tax consequences relating thereto. The effects of other U.S. federal tax laws, such as estate and gift tax laws, and any applicable state, local or non-U.S. tax laws are not discussed. This discussion is based on the Code, Treasury regulations promulgated or proposed thereunder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U.S. federal income tax consequences relevant to a Non-U.S. Holder’s particular circumstances. In addition, it does not address consequences relevant to Non-U.S. Holders subject to special rules, including, without limitation: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 expatriates and former citizens or long-term residents of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subject to the alternative minimum tax;</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holding our Class A common stock as part of a hedge, straddle or other risk reduction strategy or as part of a conversion transaction or other integrated investment;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banks, insurance companies and other financial institutions (except to the extent specifically set forth below);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brokers, dealers or traders in securities, commodities or currencies;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that elect to use a mark-to-market method of accounting for their holdings in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and corporations that accumulate earnings to avoid U.S. federal income tax;</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pass-through entities other than partnerships (and investors therein);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tax-exempt organizations or governmental organizations;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deemed to sell our Class A common stock under the constructive sale provisions of the Code;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who hold or receive our Class A common stock pursuant to the exercise of any employee stock option or otherwise as compensation;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that own or have owned (actually or constructively) more than five percent of our capital stock (except to the extent specifically set forth below);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subject to special tax accounting rules as a result of any item of gross income with respect to our Class A common stock being taken in account in an “applicable financial statement” (as defined in Section 451(b)(3) of the Code);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qualified foreign pension funds” (within the meaning of Section 897(l)(2) of the Code) and entities, all of the interests of which are held by qualified foreign pension funds; and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tax-qualified retirement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this discussion does not address the tax treatment of partnerships (or other entities or arrangements that are treated as partnerships for U.S. federal income tax purposes) or persons that hold our Class A common stock through such partnerships. If any entity or arrangement classified as a partnership for U.S. federal income tax purposes holds our Class A common stock, the U.S. federal income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 of the purchase, ownership, and disposition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Definition of a Non-U.S. 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any beneficial owner of our Class A common stock that is neither a “United States person” (as defined below) nor an entity or arrangement treated as a partnership for U.S. federal income tax purposes. For purposes of this discussion, a “United States person” is any person that, for U.S. federal income tax purposes, is or is treated as any of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corporation, or other entity treated as a corporation for U.S. federal income tax purposes, created or organized under the laws of the United States, any state thereof, or the District of Columbia;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trust that (1) is subject to the primary supervision of a U.S. court and all substantial decisions of which are under the control of one or more “United States persons” (within the meaning of Section 7701(a)(30) of the Code), or (2) has a valid election in effect to be treated as a United States person for U.S. federal income tax purposes.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“Dividend Policy,” we do not anticipate declaring or paying dividends to holders of our Class A common stock in the foreseeable future. However, if we do make distributions of cash or property on our Class A common stock, such distributions generally will constitute dividends for U.S. federal income tax purposes to the extent paid from our current or accumulated earnings and profits, as determined under U.S. federal income tax principles. Amounts not treated as dividends for U.S. federal income tax purposes generally will constitute a non-taxable return of capital and first be applied against and reduce a Non-U.S. Holder’s adjusted tax basis in its Class A common stock, but not below zero. Any excess amounts generally will be treated as capital gains from the sale or exchange of such shares and will be treated as described below under “Sale or Other Taxable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below on effectively connected income, backup withholding, and Sections 1471 to 1474 of the Code (such Sections commonly referred to as the Foreign Account Tax Compliance Act (“FATCA”)), dividends paid to a Non-U.S. Holder of our Class A common stock will generally be subject to U.S. federal withholding tax at a rate of 30% of the gross amount of the dividends (or such lower rate specified by an applicable income tax treaty, provided that the Non-U.S. Holder furnishes to the applicable withholding agent prior to the payment of the dividends a valid IRS Form W-8BEN or W-8BEN-E (or other applicable documentation or successor form) certifying qualification for the lower treaty rate). Such Non-U.S. Holder will be required to update such forms and certifications, as applicable, from time to time as required by law. A Non-U.S. Holder that does not timely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such Non-U.S. Holder’s conduct of a trade or business within the United States (and, if required by an applicable income tax treaty, such Non-U.S. Holder maintains a permanent establishment or fixed base in the United States to which such dividends are attributable), such Non-U.S. Holder will be exempt from the U.S. federal withholding tax described above if such Non-U.S. Holder satisfies applicable certification and disclosure requirements. To claim the exemption, such Non-U.S. Holder must furnish to the applicable withholding agent a valid IRS Form W-8ECI (or a successor form), certifying that the dividends are effectively connected with the Non-U.S. Holder’s conduct of a trade or business within the United States. Such Non-U.S. Holder will be required to update such forms and certifications, as applicable, from time to time as required by law. Non-U.S. Holders should consult their tax advisors regarding any applicable tax treaties that may provide for different treatment.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such effectively connected dividends will generally be subject to U.S. federal income tax on a net-income basis at the regular graduated rates generally applicable to “United States persons” (as defined in the Code). A Non-U.S.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treatments.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 or Other Taxable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the discussion below on backup withholding and FATCA, a Non-U.S. Holder generally will not be subject to U.S. federal income tax on any gain realized upon the sale or other taxable disposition of our Class A common stock unless: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constitutes a U.S. real property interest (a “USRPI”), by reason of our status as a U.S. real property holding corporation (a “USRPHC”) for U.S. federal income tax purposes at any time within the shorter of (1) the five-year period preceding the Non-U.S. Holder’s disposition of our Class A common stock and (2) the Non-U.S. Holder’s holding period for our Class A common stock. Generally, a domestic corporation is a USRPHC if, on any applicable determination date, the fair market value of its USRPIs equals or exceeds 50% of the sum of the fair market value of its worldwide real property interests plus certain other business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generally will be subject to U.S. federal income tax on a net income basis at the regular graduated rates generally applicable to a United States person. A Non-U.S.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gain.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any gain realized from the sale or other taxable disposition of our Class A common stock, which may generally be offset by U.S. source capital losses of the Non-U.S. Holder for the applicable taxable year (even though the individual is not considered a resident of the United States), provided the Non-U.S. Holder has timely filed U.S. federal income tax returns with respect to such losses.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during the calendar year in which the taxable disposition occurs, and such Non-U.S. Holder owned, actually and constructively, five percent or less of our Class A common stock throughout the shorter of (1) the five-year period ending on the date of the sale or other taxable disposition or (2) the Non-U.S. Holder’s holding period. No assurance can be provided that our Class A common stock will be considered regularly traded on an established securities market at all times for purposes of the rules described above. If we are or were to become a USRPHC and our Class A common stock were not considered to be “regularly traded” on an established securities market during the calendar year in which the relevant disposition by a Non-U.S. Holder occurs, then the foregoing exception would not apply and such Non-U.S. Holder (regardless of the percentage of stock owned) would be subject to U.S. federal income tax on a sale or other taxable disposition of our Class A common stock and a 15% U.S. federal withholding tax would apply to the gross proceeds from such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 Non-U.S. Holder owns (actually and constructively) 5% or less of our Class A common stock and the potential application of the “regularly traded” exception is complex and subject to uncertainty. Non-U.S. Holders should consult their tax advisors regarding such determination, the consequences of these rules on their investment, and potentially applicable income tax treaties that may provide for different treatment.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Information Reporting and Backup Withholding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of distributions on our Class A common stock to a Non-U.S. Holder generally will not be subject to backup withholding, provided the applicable withholding agent does not have actual knowledge or reason to know the Non-U.S. Holder is a United States person and the Non-U.S. Holder either certifies its non-U.S. status, such as by furnishing a valid IRS Form W-8BEN, W-8BEN-E or W-8ECI (or other applicable or successor form), or otherwise establishes an exemption. However, information returns are required to be filed with the IRS in connection with any distributions on our Class A common stock paid to the Non-U.S. Holder, regardless of whether any tax was actually withheld. In addition, proceeds of the sale or other taxable disposition of our Class A common stock within the United States or conducted through certain U.S.-related brokers by a Non-U.S. Holder generally will not be subject to backup withholding or information reporting if the applicable withholding agent receives the certification described above and does not have actual knowledge or reason to know that such Non-U.S. Holder is a United States person, or the Non-U.S. Holder otherwise establishes an exemption. If a Non-U.S. Holder does not provide the certification described above or the applicable withholding agent has actual knowledge or reason to know that such Non-U.S. Holder is a United States person, payments of dividends or of proceeds of the sale or other taxable disposition of our Class A common stock may be subject to backup withholding at a rate currently equal to            % of the gross proceeds of such distribution, sale, or taxable disposition. Proceeds of a sale or other taxable disposition of our Class A common stock conducted through a non-U.S. office of a non-U.S. broker generally will not be subject to backup withholding or information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claimed as a refund or a credit against a Non-U.S. Holder’s U.S. federal income tax liability, provided the required information is timely furnished to the 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information reporting and backup withholding.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Additional Withholding Tax on Payments Made to Foreign Accounts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Withholding taxes may be imposed under FATCA and other administrative guidance issued thereunder, on certain types of payments made to non-U.S. financial institutions and certain other non-U.S. entities. Specifically, a 30% withholding tax may be imposed on dividends on, or (subject to the discussion of certain proposed Treasury Regulations below) gross proceeds from the sale or other disposition of, our Class A common stock paid to a “foreign financial institution” or a “non-financial foreign entity” (each as defined in the Code) (including, in some cases, when such foreign financial institution or non-financial foreign entity is acting as an intermediary), unless (1) the foreign financial institution undertakes certain diligence and reporting obligations, (2) if the foreign entity is not a “foreign financial entity,” the non-financial foreign entity either certifies it does not have any “substantial United States owners” (as defined in the Code) or furnishes identifying information regarding each direct and indirect substantial United States owner, or (3) the foreign financial institution or non-financial foreign entity otherwise establishes that it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Code, applicable Treasury Regulations, and administrative guidance, withholding under FATCA generally applies to payments of dividends on our Class A common stock. While withholding under FATCA would have applied also to payments of gross proceeds from a sale or other disposition of our Class A common stock, the U.S. Department of the Treasury has released proposed regulations (which may be relied upon by taxpayers until final regulations are issued) that eliminate FATCA withholding on gross proceeds. We will not pay additional amounts or “gross up” payments to Non-U.S. Holders as a result of any withholding or deduction for taxes imposed under FATCA. Under certain circumstances, certain Non-U.S. Holders might be eligible for refunds or credits of such taxes. Prospective investors should consult their tax advisors regarding the potential application of withholding under FATCA to their investment in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and the selling stockholders have agreed to sell to them, severally, the number of shares of our Class A common stock indicated below:</w:t>
      </w:r>
    </w:p>
    <w:tbl>
      <w:tblPr>
        <w:tblW w:w="4152" w:type="dxa"/>
        <w:jc w:val="left"/>
        <w:tblInd w:w="0" w:type="dxa"/>
        <w:tblLayout w:type="fixed"/>
        <w:tblCellMar>
          <w:top w:w="28" w:type="dxa"/>
          <w:left w:w="28" w:type="dxa"/>
          <w:bottom w:w="28" w:type="dxa"/>
          <w:right w:w="28" w:type="dxa"/>
        </w:tblCellMar>
      </w:tblPr>
      <w:tblGrid>
        <w:gridCol w:w="857"/>
        <w:gridCol w:w="752"/>
        <w:gridCol w:w="761"/>
        <w:gridCol w:w="109"/>
        <w:gridCol w:w="109"/>
        <w:gridCol w:w="109"/>
        <w:gridCol w:w="425"/>
        <w:gridCol w:w="425"/>
        <w:gridCol w:w="605"/>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J.P. Morgan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selling stockholders have granted to the underwriters an option, exercisable for 30 days from the date of this prospectus, to purchase up to                    additional shares of Class A common stock from the selling stockholders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such underwriter’s name in the preceding table bears to the total number of shares of Class A common stock listed next to the names of all underwriters in the preceding table.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Class A common stock from the selling stockholders.</w:t>
      </w:r>
    </w:p>
    <w:tbl>
      <w:tblPr>
        <w:tblW w:w="10059" w:type="dxa"/>
        <w:jc w:val="left"/>
        <w:tblInd w:w="0" w:type="dxa"/>
        <w:tblLayout w:type="fixed"/>
        <w:tblCellMar>
          <w:top w:w="28" w:type="dxa"/>
          <w:left w:w="28" w:type="dxa"/>
          <w:bottom w:w="28" w:type="dxa"/>
          <w:right w:w="28" w:type="dxa"/>
        </w:tblCellMar>
      </w:tblPr>
      <w:tblGrid>
        <w:gridCol w:w="2580"/>
        <w:gridCol w:w="2260"/>
        <w:gridCol w:w="2284"/>
        <w:gridCol w:w="405"/>
        <w:gridCol w:w="208"/>
        <w:gridCol w:w="211"/>
        <w:gridCol w:w="109"/>
        <w:gridCol w:w="109"/>
        <w:gridCol w:w="109"/>
        <w:gridCol w:w="347"/>
        <w:gridCol w:w="179"/>
        <w:gridCol w:w="180"/>
        <w:gridCol w:w="109"/>
        <w:gridCol w:w="109"/>
        <w:gridCol w:w="109"/>
        <w:gridCol w:w="334"/>
        <w:gridCol w:w="172"/>
        <w:gridCol w:w="245"/>
      </w:tblGrid>
      <w:tr>
        <w:trPr/>
        <w:tc>
          <w:tcPr>
            <w:tcW w:w="258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Full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to be paid by us and the selling stockholders</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the selling stockholders</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offering expenses, exclusive of the underwriting discounts and commissions, are approximately $                    . We have agreed to reimburse the underwriters for certain expenses relating to clearance of this offering with the Financial Industry Regulatory Authority up to $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have informed us that they do not intend sales to discretionary accounts to exceed 5% of the total number of shares of Class A common stock offered by them.</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apply to have our Class A common stock listed on                      under the symbol “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all directors, executive officers and the holders of all of our outstanding stock and securities exercisable for or convertible into our common stock will sign lock-up agreements that prevent us and them from selling any of our common stock or any securities exercisable for or convertible into our common stock for a period of not less than           days from the date of this prospectus without the prior written consent of            on behalf of the underwriters, subject to certain exceptions.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facilitate the offering of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described above.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 selling stockholders and the underwriters have agreed to indemnify each other against certain liabilities, including liabilities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Pricing of the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earnings and certain other financial and operating information in recent periods, and the price-earnings ratios, price-sales ratios, market prices of securities, and certain financial and operating information of companies engaged in activities similar to ours.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Selling Restrictions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European Economic Area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EU Prospectus Regulation, except that offers of shares of common stock may be made to the public in that Relevant State at any time: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Article 2 of the EU Prospectus Regulation;</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the EU Prospectus Regulation), subject to obtaining the prior consent of the representatives for any such offer;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any other circumstances falling within Article 1(4) of the EU Prospectus Regulation,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that no such offer of shares of Class A common stock shall result in a requirement for us or any underwriter to publish a prospectus pursuant to Article 3 of the EU Prospectus Regulation or a supplemental prospectus pursuant to Article 23 of the EU Prospectus Regulation or publish an Annex IX document pursuant to Article 1(4) of the EU Prospectus Regulation and each person who initially acquires any shares of Class A common stock or to whom any offer is made will be deemed to have represented, warranted and agreed to and with each of the underwriters and us that it is a qualified investor within the meaning of Article 2 of the EU Prospectus Regulation.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case of any shares of Class A common stock being offered to a financial intermediary as that term is used in Article 5(a) of the EU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“EU Prospectus Regulation” means Regulation (EU) 2017/1129 (as amended).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shares of Class A common stock have been offered or will be offered pursuant to the offering to the public in the United Kingdom except that offers of shares of Class A common stock may be made to the public in the United Kingdom at any time: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paragraph 15 of Schedule 1 to the POATRs;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paragraph 15 of Schedule 1 to the POATRs, subject to obtaining the prior consent of the underwriters for any such offer;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any other circumstances falling within Part 1 of Schedule 1 to the POATRs.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person who initially acquires any shares of Class A common stock or to whom any offer is made will be deemed to have represented, warranted and agreed to and with each of us and the underwriters that it is a qualified investor within the meaning of paragraph 15 of Schedule 1 to the POATRs.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case of any shares of Class A common stock being offered to a financial intermediary as that term is used in paragraph 4 of regulation 7 of the POATRs,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the United Kingdom to qualified investors as so defined or in circumstances in which the prior consent of the underwriters has been obtained to each such proposed offer or resale.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the shares of Class A common stock in the United Kingdom means the communication to any person which presents sufficient information on: (a) shares of Class A common stock to be offered and (b) the terms on which they are to be offered, to enable an investor to decide to purchase or subscribe for any shares of Class A common stock and the expression “POATRs” means the Public Offers and Admissions to Trading Regulations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validity of the issuance of our Class A common stock offered in this prospectus will be passed upon for us by Kirkland &amp; Ellis LLP, Chicago, Illinois. Kirkland &amp; Ellis LLP represents entities affiliated with Olympus in connection with legal matters. The underwriters have been represented by Simpson Thacher &amp; Bartlett LLP,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Accelevation LLC as of and for the year ended December 31, 2025 and the financial statements of Accelevation Holding Company, LLC as of and for the year ended December 31, 2024 included in this prospectus and elsewhere in the registration statement have been so included in reliance upon the report of Grant Thornton LLP, independent registered public accountant, upon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S-1 under the Securities Act to register our Class A common stock being offered in this prospectus. This prospectus, which forms part of the registration statement, does not contain all of the information included in the registration statement and the attached exhibits. You will find additional information about us and our Class A common stock in the registration statement. References in this prospectus to any of our contracts, agreements or other documents are not necessarily complete, and you should refer to the exhibits attached to the registration statement for copies of the actual contracts, agreements or documents. The SEC maintains an Internet website that contains reports and other information about issuers, like us, that file electronically with the SEC. The address of that website is www.sec.gov.</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maintain a website at www.accelevation.com, at which you may access these materials free of charge as soon as reasonably practicable after they are electronically filed with or furnished to the SEC.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11"/>
        <w:gridCol w:w="3083"/>
        <w:gridCol w:w="3092"/>
        <w:gridCol w:w="151"/>
        <w:gridCol w:w="151"/>
        <w:gridCol w:w="217"/>
      </w:tblGrid>
      <w:tr>
        <w:trPr/>
        <w:tc>
          <w:tcPr>
            <w:tcW w:w="3511"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Audited Consolidated Financial Statements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2344">
              <w:r>
                <w:rPr>
                  <w:rStyle w:val="InternetLink"/>
                  <w:rFonts w:ascii="Times New Roman;serif" w:hAnsi="Times New Roman;serif"/>
                  <w:b w:val="false"/>
                  <w:color w:val="0000FF"/>
                  <w:sz w:val="20"/>
                  <w:u w:val="single"/>
                </w:rPr>
                <w:t>Report of Independent Registered Public Accounting Firm</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344">
              <w:r>
                <w:rPr>
                  <w:rStyle w:val="InternetLink"/>
                  <w:rFonts w:ascii="Times New Roman;serif" w:hAnsi="Times New Roman;serif"/>
                  <w:b w:val="false"/>
                  <w:color w:val="0000FF"/>
                  <w:sz w:val="20"/>
                  <w:u w:val="single"/>
                </w:rPr>
                <w:t>F-1</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16">
              <w:r>
                <w:rPr>
                  <w:rStyle w:val="InternetLink"/>
                  <w:rFonts w:ascii="Times New Roman;serif" w:hAnsi="Times New Roman;serif"/>
                  <w:b w:val="false"/>
                  <w:color w:val="0000FF"/>
                  <w:sz w:val="20"/>
                  <w:u w:val="single"/>
                </w:rPr>
                <w:t>Consolidated Balance Sheets as of December 31, 2025 (Successor) and 2024 (Predecessor)</w:t>
              </w:r>
            </w:hyperlink>
            <w:r>
              <w:rPr>
                <w:color w:val="000000"/>
              </w:rPr>
              <w:t xml:space="preserve"> </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16">
              <w:r>
                <w:rPr>
                  <w:rStyle w:val="InternetLink"/>
                  <w:rFonts w:ascii="Times New Roman;serif" w:hAnsi="Times New Roman;serif"/>
                  <w:b w:val="false"/>
                  <w:color w:val="0000FF"/>
                  <w:sz w:val="20"/>
                  <w:u w:val="single"/>
                </w:rPr>
                <w:t>F-2</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28">
              <w:r>
                <w:rPr>
                  <w:rStyle w:val="InternetLink"/>
                  <w:rFonts w:ascii="Times New Roman;serif" w:hAnsi="Times New Roman;serif"/>
                  <w:b w:val="false"/>
                  <w:color w:val="0000FF"/>
                  <w:sz w:val="20"/>
                  <w:u w:val="single"/>
                </w:rPr>
                <w:t>Consolidated Statements of Operations for the years ended December 31, 2025 (Successor) and 2024 (Predecessor)</w:t>
              </w:r>
            </w:hyperlink>
            <w:r>
              <w:rPr>
                <w:color w:val="000000"/>
              </w:rPr>
              <w:t xml:space="preserve"> </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28">
              <w:r>
                <w:rPr>
                  <w:rStyle w:val="InternetLink"/>
                  <w:rFonts w:ascii="Times New Roman;serif" w:hAnsi="Times New Roman;serif"/>
                  <w:b w:val="false"/>
                  <w:color w:val="0000FF"/>
                  <w:sz w:val="20"/>
                  <w:u w:val="single"/>
                </w:rPr>
                <w:t>F-3</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40">
              <w:r>
                <w:rPr>
                  <w:rStyle w:val="InternetLink"/>
                  <w:rFonts w:ascii="Times New Roman;serif" w:hAnsi="Times New Roman;serif"/>
                  <w:b w:val="false"/>
                  <w:color w:val="0000FF"/>
                  <w:sz w:val="20"/>
                  <w:u w:val="single"/>
                </w:rPr>
                <w:t>Consolidated Statements of Members' Equity for the years ended December 31, 2025 (Successor) and 2024 (Predecessor)</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40">
              <w:r>
                <w:rPr>
                  <w:rStyle w:val="InternetLink"/>
                  <w:rFonts w:ascii="Times New Roman;serif" w:hAnsi="Times New Roman;serif"/>
                  <w:b w:val="false"/>
                  <w:color w:val="0000FF"/>
                  <w:sz w:val="20"/>
                  <w:u w:val="single"/>
                </w:rPr>
                <w:t>F-4</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52">
              <w:r>
                <w:rPr>
                  <w:rStyle w:val="InternetLink"/>
                  <w:rFonts w:ascii="Times New Roman;serif" w:hAnsi="Times New Roman;serif"/>
                  <w:b w:val="false"/>
                  <w:color w:val="0000FF"/>
                  <w:sz w:val="20"/>
                  <w:u w:val="single"/>
                </w:rPr>
                <w:t>Consolidated Statements of Cash Flows for the years ended December 31, 2025 (Successor) and 2024 (Predecessor)</w:t>
              </w:r>
            </w:hyperlink>
            <w:r>
              <w:rPr>
                <w:color w:val="000000"/>
              </w:rPr>
              <w:t xml:space="preserve"> </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52">
              <w:r>
                <w:rPr>
                  <w:rStyle w:val="InternetLink"/>
                  <w:rFonts w:ascii="Times New Roman;serif" w:hAnsi="Times New Roman;serif"/>
                  <w:b w:val="false"/>
                  <w:color w:val="0000FF"/>
                  <w:sz w:val="20"/>
                  <w:u w:val="single"/>
                </w:rPr>
                <w:t>F-6</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65">
              <w:r>
                <w:rPr>
                  <w:rStyle w:val="InternetLink"/>
                  <w:rFonts w:ascii="Times New Roman;serif" w:hAnsi="Times New Roman;serif"/>
                  <w:b w:val="false"/>
                  <w:color w:val="0000FF"/>
                  <w:sz w:val="20"/>
                  <w:u w:val="single"/>
                </w:rPr>
                <w:t>Notes to the Consolidated Financial Statements</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65">
              <w:r>
                <w:rPr>
                  <w:rStyle w:val="InternetLink"/>
                  <w:rFonts w:ascii="Times New Roman;serif" w:hAnsi="Times New Roman;serif"/>
                  <w:b w:val="false"/>
                  <w:color w:val="0000FF"/>
                  <w:sz w:val="20"/>
                  <w:u w:val="single"/>
                </w:rPr>
                <w:t>F-8</w:t>
              </w:r>
            </w:hyperlink>
          </w:p>
        </w:tc>
      </w:tr>
      <w:tr>
        <w:trPr/>
        <w:tc>
          <w:tcPr>
            <w:tcW w:w="9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Unaudited Condensed Consolidated Financial Statements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26">
              <w:r>
                <w:rPr>
                  <w:rStyle w:val="InternetLink"/>
                  <w:rFonts w:ascii="Times New Roman;serif" w:hAnsi="Times New Roman;serif"/>
                  <w:b w:val="false"/>
                  <w:color w:val="0000FF"/>
                  <w:sz w:val="20"/>
                  <w:u w:val="single"/>
                </w:rPr>
                <w:t>Condensed Consolidated Balance Sheets as of March 31, 2026 (Unaudited) and December 31, 2025</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26">
              <w:r>
                <w:rPr>
                  <w:rStyle w:val="InternetLink"/>
                  <w:rFonts w:ascii="Times New Roman;serif" w:hAnsi="Times New Roman;serif"/>
                  <w:b w:val="false"/>
                  <w:color w:val="0000FF"/>
                  <w:sz w:val="20"/>
                  <w:u w:val="single"/>
                </w:rPr>
                <w:t>F-45</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36">
              <w:r>
                <w:rPr>
                  <w:rStyle w:val="InternetLink"/>
                  <w:rFonts w:ascii="Times New Roman;serif" w:hAnsi="Times New Roman;serif"/>
                  <w:b w:val="false"/>
                  <w:color w:val="0000FF"/>
                  <w:sz w:val="20"/>
                  <w:u w:val="single"/>
                </w:rPr>
                <w:t>Condensed Consolidated Statements of Operations for the three months ended March 31, 2026 and 2025 (Unaudited)</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36">
              <w:r>
                <w:rPr>
                  <w:rStyle w:val="InternetLink"/>
                  <w:rFonts w:ascii="Times New Roman;serif" w:hAnsi="Times New Roman;serif"/>
                  <w:b w:val="false"/>
                  <w:color w:val="0000FF"/>
                  <w:sz w:val="20"/>
                  <w:u w:val="single"/>
                </w:rPr>
                <w:t>F-47</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45">
              <w:r>
                <w:rPr>
                  <w:rStyle w:val="InternetLink"/>
                  <w:rFonts w:ascii="Times New Roman;serif" w:hAnsi="Times New Roman;serif"/>
                  <w:b w:val="false"/>
                  <w:color w:val="0000FF"/>
                  <w:sz w:val="20"/>
                  <w:u w:val="single"/>
                </w:rPr>
                <w:t>Condensed Consolidated Statements of Members' Equity for the three months ended March 31, 2026 and 2025 (Unaudited)</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45">
              <w:r>
                <w:rPr>
                  <w:rStyle w:val="InternetLink"/>
                  <w:rFonts w:ascii="Times New Roman;serif" w:hAnsi="Times New Roman;serif"/>
                  <w:b w:val="false"/>
                  <w:color w:val="0000FF"/>
                  <w:sz w:val="20"/>
                  <w:u w:val="single"/>
                </w:rPr>
                <w:t>F-48</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58">
              <w:r>
                <w:rPr>
                  <w:rStyle w:val="InternetLink"/>
                  <w:rFonts w:ascii="Times New Roman;serif" w:hAnsi="Times New Roman;serif"/>
                  <w:b w:val="false"/>
                  <w:color w:val="0000FF"/>
                  <w:sz w:val="20"/>
                  <w:u w:val="single"/>
                </w:rPr>
                <w:t>Condensed Consolidated Statements of Cash Flows for the three months ended March 31, 2026 and 2025 (Unaudited)</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58">
              <w:r>
                <w:rPr>
                  <w:rStyle w:val="InternetLink"/>
                  <w:rFonts w:ascii="Times New Roman;serif" w:hAnsi="Times New Roman;serif"/>
                  <w:b w:val="false"/>
                  <w:color w:val="0000FF"/>
                  <w:sz w:val="20"/>
                  <w:u w:val="single"/>
                </w:rPr>
                <w:t>F-49</w:t>
              </w:r>
            </w:hyperlink>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68">
              <w:r>
                <w:rPr>
                  <w:rStyle w:val="InternetLink"/>
                  <w:rFonts w:ascii="Times New Roman;serif" w:hAnsi="Times New Roman;serif"/>
                  <w:b w:val="false"/>
                  <w:color w:val="0000FF"/>
                  <w:sz w:val="20"/>
                  <w:u w:val="single"/>
                </w:rPr>
                <w:t>Notes to the Condensed Consolidated Financial Statements (Unaudited)</w:t>
              </w:r>
            </w:hyperlink>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68">
              <w:r>
                <w:rPr>
                  <w:rStyle w:val="InternetLink"/>
                  <w:rFonts w:ascii="Times New Roman;serif" w:hAnsi="Times New Roman;serif"/>
                  <w:b w:val="false"/>
                  <w:color w:val="0000FF"/>
                  <w:sz w:val="20"/>
                  <w:u w:val="single"/>
                </w:rPr>
                <w:t>F-51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76860"/>
                <wp:effectExtent l="0" t="0" r="0" b="0"/>
                <wp:wrapNone/>
                <wp:docPr id="210" name="Frame200"/>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and Members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Accelevation LLC</w: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300" w:before="0" w:after="160"/>
        <w:jc w:val="both"/>
        <w:rPr/>
      </w:pPr>
      <w:r>
        <w:rPr>
          <w:rFonts w:ascii="Times New Roman;serif" w:hAnsi="Times New Roman;serif"/>
          <w:b w:val="false"/>
          <w:color w:val="000000"/>
          <w:sz w:val="20"/>
        </w:rPr>
        <w:t>We have audited the accompanying consolidated balance sheet of Accelevation LLC (a Delaware limited liability company) and subsidiaries (the “Company” or “Successor”) as of December 31, 2025, the related consolidated statement of operations, members’ equity, and cash flows for the year ended December 31, 2025, and the consolidated balance sheet of Accelevation Holding Company, LLC (a Delaware limited liability company) and subsidiaries (“Predecessor”) as of December 31, 2024, the related consolidated statement of operations, members’ equity, and cash flows for the year ended December 31, 2024, and the related notes (collectively referred to as the “consolidated financial statements”). In our opinion, the consolidated</w:t>
      </w:r>
      <w:r>
        <w:rPr>
          <w:color w:val="0000FF"/>
        </w:rPr>
        <w:t xml:space="preserve"> </w:t>
      </w:r>
      <w:r>
        <w:rPr>
          <w:rFonts w:ascii="Times New Roman;serif" w:hAnsi="Times New Roman;serif"/>
          <w:b w:val="false"/>
          <w:color w:val="000000"/>
          <w:sz w:val="20"/>
        </w:rPr>
        <w:t>financial statements present fairly, in all material respects, the financial position of the Successor</w:t>
      </w:r>
      <w:r>
        <w:rPr>
          <w:color w:val="0000FF"/>
        </w:rPr>
        <w:t xml:space="preserve"> </w:t>
      </w:r>
      <w:r>
        <w:rPr>
          <w:rFonts w:ascii="Times New Roman;serif" w:hAnsi="Times New Roman;serif"/>
          <w:b w:val="false"/>
          <w:color w:val="000000"/>
          <w:sz w:val="20"/>
        </w:rPr>
        <w:t>as of December 31, 2025, and the results of its</w:t>
      </w:r>
      <w:r>
        <w:rPr>
          <w:color w:val="0000FF"/>
        </w:rPr>
        <w:t xml:space="preserve"> </w:t>
      </w:r>
      <w:r>
        <w:rPr>
          <w:rFonts w:ascii="Times New Roman;serif" w:hAnsi="Times New Roman;serif"/>
          <w:b w:val="false"/>
          <w:color w:val="000000"/>
          <w:sz w:val="20"/>
        </w:rPr>
        <w:t>operations and its</w:t>
      </w:r>
      <w:r>
        <w:rPr>
          <w:color w:val="0000FF"/>
        </w:rPr>
        <w:t xml:space="preserve"> </w:t>
      </w:r>
      <w:r>
        <w:rPr>
          <w:rFonts w:ascii="Times New Roman;serif" w:hAnsi="Times New Roman;serif"/>
          <w:b w:val="false"/>
          <w:color w:val="000000"/>
          <w:sz w:val="20"/>
        </w:rPr>
        <w:t>cash flows for the year ended December 31, 2025 and the financial position of the Predecessor</w:t>
      </w:r>
      <w:r>
        <w:rPr>
          <w:color w:val="0000FF"/>
        </w:rPr>
        <w:t xml:space="preserve"> </w:t>
      </w:r>
      <w:r>
        <w:rPr>
          <w:rFonts w:ascii="Times New Roman;serif" w:hAnsi="Times New Roman;serif"/>
          <w:b w:val="false"/>
          <w:color w:val="000000"/>
          <w:sz w:val="20"/>
        </w:rPr>
        <w:t>as of December 31, 2024, and the results of its</w:t>
      </w:r>
      <w:r>
        <w:rPr>
          <w:color w:val="0000FF"/>
        </w:rPr>
        <w:t xml:space="preserve"> </w:t>
      </w:r>
      <w:r>
        <w:rPr>
          <w:rFonts w:ascii="Times New Roman;serif" w:hAnsi="Times New Roman;serif"/>
          <w:b w:val="false"/>
          <w:color w:val="000000"/>
          <w:sz w:val="20"/>
        </w:rPr>
        <w:t>operations and its</w:t>
      </w:r>
      <w:r>
        <w:rPr>
          <w:color w:val="0000FF"/>
        </w:rPr>
        <w:t xml:space="preserve"> </w:t>
      </w:r>
      <w:r>
        <w:rPr>
          <w:rFonts w:ascii="Times New Roman;serif" w:hAnsi="Times New Roman;serif"/>
          <w:b w:val="false"/>
          <w:color w:val="000000"/>
          <w:sz w:val="20"/>
        </w:rPr>
        <w:t>cash flows for the year ended December 31, 2024, in conformity with accounting principles generally accepted in the United States of America.</w: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88" w:before="0" w:after="284"/>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388" w:before="0" w:after="284"/>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2026.</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Cincinnati, Ohio</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1415"/>
                <wp:effectExtent l="0" t="0" r="0" b="0"/>
                <wp:wrapNone/>
                <wp:docPr id="211" name="Frame201"/>
                <a:graphic xmlns:a="http://schemas.openxmlformats.org/drawingml/2006/main">
                  <a:graphicData uri="http://schemas.microsoft.com/office/word/2010/wordprocessingShape">
                    <wps:wsp>
                      <wps:cNvSpPr txBox="1"/>
                      <wps:spPr>
                        <a:xfrm>
                          <a:off x="0" y="0"/>
                          <a:ext cx="6480175" cy="1161415"/>
                        </a:xfrm>
                        <a:prstGeom prst="rect"/>
                        <a:solidFill>
                          <a:srgbClr val="FFFFFF"/>
                        </a:solidFill>
                      </wps:spPr>
                      <wps:txbx>
                        <w:txbxContent>
                          <w:p>
                            <w:pPr>
                              <w:pStyle w:val="TextBody"/>
                              <w:bidi w:val="0"/>
                              <w:spacing w:before="160" w:after="283"/>
                              <w:ind w:left="0" w:right="0" w:firstLine="360"/>
                              <w:jc w:val="center"/>
                              <w:rPr/>
                            </w:pPr>
                            <w:r>
                              <w:rPr/>
                            </w:r>
                            <w:r>
                              <w:br w:type="page"/>
                            </w:r>
                          </w:p>
                          <w:p>
                            <w:pPr>
                              <w:pStyle w:val="TextBody"/>
                              <w:bidi w:val="0"/>
                              <w:spacing w:before="160" w:after="283"/>
                              <w:ind w:left="0" w:right="0" w:firstLine="360"/>
                              <w:jc w:val="center"/>
                              <w:rPr/>
                            </w:pPr>
                            <w:r>
                              <w:rPr/>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p>
                      <w:pPr>
                        <w:pStyle w:val="TextBody"/>
                        <w:bidi w:val="0"/>
                        <w:spacing w:before="160" w:after="283"/>
                        <w:ind w:left="0" w:right="0" w:firstLine="360"/>
                        <w:jc w:val="center"/>
                        <w:rPr/>
                      </w:pPr>
                      <w:r>
                        <w:rPr/>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87"/>
        <w:gridCol w:w="1951"/>
        <w:gridCol w:w="1956"/>
        <w:gridCol w:w="109"/>
        <w:gridCol w:w="109"/>
        <w:gridCol w:w="109"/>
        <w:gridCol w:w="274"/>
        <w:gridCol w:w="1075"/>
        <w:gridCol w:w="141"/>
        <w:gridCol w:w="109"/>
        <w:gridCol w:w="109"/>
        <w:gridCol w:w="109"/>
        <w:gridCol w:w="109"/>
        <w:gridCol w:w="109"/>
        <w:gridCol w:w="109"/>
        <w:gridCol w:w="271"/>
        <w:gridCol w:w="1066"/>
        <w:gridCol w:w="203"/>
      </w:tblGrid>
      <w:tr>
        <w:trPr/>
        <w:tc>
          <w:tcPr>
            <w:tcW w:w="228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Current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$0.3 million and $0.1 million,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current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Current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current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other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Members'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members'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 and equity</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909955"/>
                <wp:effectExtent l="0" t="0" r="0" b="0"/>
                <wp:wrapNone/>
                <wp:docPr id="212" name="Frame202"/>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before="160" w:after="283"/>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8285" w:type="dxa"/>
        <w:jc w:val="left"/>
        <w:tblInd w:w="0" w:type="dxa"/>
        <w:tblLayout w:type="fixed"/>
        <w:tblCellMar>
          <w:top w:w="28" w:type="dxa"/>
          <w:left w:w="28" w:type="dxa"/>
          <w:bottom w:w="28" w:type="dxa"/>
          <w:right w:w="28" w:type="dxa"/>
        </w:tblCellMar>
      </w:tblPr>
      <w:tblGrid>
        <w:gridCol w:w="1510"/>
        <w:gridCol w:w="1329"/>
        <w:gridCol w:w="1331"/>
        <w:gridCol w:w="109"/>
        <w:gridCol w:w="109"/>
        <w:gridCol w:w="109"/>
        <w:gridCol w:w="284"/>
        <w:gridCol w:w="1114"/>
        <w:gridCol w:w="147"/>
        <w:gridCol w:w="109"/>
        <w:gridCol w:w="109"/>
        <w:gridCol w:w="109"/>
        <w:gridCol w:w="109"/>
        <w:gridCol w:w="109"/>
        <w:gridCol w:w="109"/>
        <w:gridCol w:w="281"/>
        <w:gridCol w:w="1103"/>
        <w:gridCol w:w="205"/>
      </w:tblGrid>
      <w:tr>
        <w:trPr/>
        <w:tc>
          <w:tcPr>
            <w:tcW w:w="151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424180"/>
                <wp:effectExtent l="0" t="0" r="0" b="0"/>
                <wp:wrapNone/>
                <wp:docPr id="213" name="Frame203"/>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1078"/>
        <w:gridCol w:w="674"/>
        <w:gridCol w:w="634"/>
        <w:gridCol w:w="109"/>
        <w:gridCol w:w="109"/>
        <w:gridCol w:w="109"/>
        <w:gridCol w:w="246"/>
        <w:gridCol w:w="966"/>
        <w:gridCol w:w="127"/>
        <w:gridCol w:w="109"/>
        <w:gridCol w:w="109"/>
        <w:gridCol w:w="109"/>
        <w:gridCol w:w="301"/>
        <w:gridCol w:w="579"/>
        <w:gridCol w:w="156"/>
        <w:gridCol w:w="109"/>
        <w:gridCol w:w="109"/>
        <w:gridCol w:w="109"/>
        <w:gridCol w:w="246"/>
        <w:gridCol w:w="844"/>
        <w:gridCol w:w="127"/>
        <w:gridCol w:w="109"/>
        <w:gridCol w:w="109"/>
        <w:gridCol w:w="109"/>
        <w:gridCol w:w="314"/>
        <w:gridCol w:w="918"/>
        <w:gridCol w:w="164"/>
        <w:gridCol w:w="109"/>
        <w:gridCol w:w="109"/>
        <w:gridCol w:w="109"/>
        <w:gridCol w:w="211"/>
        <w:gridCol w:w="826"/>
        <w:gridCol w:w="159"/>
      </w:tblGrid>
      <w:tr>
        <w:trPr/>
        <w:tc>
          <w:tcPr>
            <w:tcW w:w="10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Successor, 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 upon 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 in connection with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recognized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424180"/>
                <wp:effectExtent l="0" t="0" r="0" b="0"/>
                <wp:wrapNone/>
                <wp:docPr id="214" name="Frame204"/>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2024</w:t>
      </w:r>
    </w:p>
    <w:tbl>
      <w:tblPr>
        <w:tblW w:w="10205" w:type="dxa"/>
        <w:jc w:val="left"/>
        <w:tblInd w:w="0" w:type="dxa"/>
        <w:tblLayout w:type="fixed"/>
        <w:tblCellMar>
          <w:top w:w="28" w:type="dxa"/>
          <w:left w:w="28" w:type="dxa"/>
          <w:bottom w:w="28" w:type="dxa"/>
          <w:right w:w="28" w:type="dxa"/>
        </w:tblCellMar>
      </w:tblPr>
      <w:tblGrid>
        <w:gridCol w:w="795"/>
        <w:gridCol w:w="664"/>
        <w:gridCol w:w="669"/>
        <w:gridCol w:w="109"/>
        <w:gridCol w:w="109"/>
        <w:gridCol w:w="109"/>
        <w:gridCol w:w="273"/>
        <w:gridCol w:w="936"/>
        <w:gridCol w:w="141"/>
        <w:gridCol w:w="109"/>
        <w:gridCol w:w="109"/>
        <w:gridCol w:w="109"/>
        <w:gridCol w:w="241"/>
        <w:gridCol w:w="550"/>
        <w:gridCol w:w="125"/>
        <w:gridCol w:w="109"/>
        <w:gridCol w:w="109"/>
        <w:gridCol w:w="109"/>
        <w:gridCol w:w="405"/>
        <w:gridCol w:w="1210"/>
        <w:gridCol w:w="210"/>
        <w:gridCol w:w="109"/>
        <w:gridCol w:w="109"/>
        <w:gridCol w:w="109"/>
        <w:gridCol w:w="366"/>
        <w:gridCol w:w="705"/>
        <w:gridCol w:w="190"/>
        <w:gridCol w:w="109"/>
        <w:gridCol w:w="109"/>
        <w:gridCol w:w="109"/>
        <w:gridCol w:w="211"/>
        <w:gridCol w:w="721"/>
        <w:gridCol w:w="158"/>
      </w:tblGrid>
      <w:tr>
        <w:trPr/>
        <w:tc>
          <w:tcPr>
            <w:tcW w:w="79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br/>
              <w:t>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Predecessor,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Predecessor,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424180"/>
                <wp:effectExtent l="0" t="0" r="0" b="0"/>
                <wp:wrapNone/>
                <wp:docPr id="215" name="Frame205"/>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10205" w:type="dxa"/>
        <w:jc w:val="left"/>
        <w:tblInd w:w="0" w:type="dxa"/>
        <w:tblLayout w:type="fixed"/>
        <w:tblCellMar>
          <w:top w:w="28" w:type="dxa"/>
          <w:left w:w="28" w:type="dxa"/>
          <w:bottom w:w="28" w:type="dxa"/>
          <w:right w:w="28" w:type="dxa"/>
        </w:tblCellMar>
      </w:tblPr>
      <w:tblGrid>
        <w:gridCol w:w="2329"/>
        <w:gridCol w:w="1978"/>
        <w:gridCol w:w="1973"/>
        <w:gridCol w:w="109"/>
        <w:gridCol w:w="109"/>
        <w:gridCol w:w="109"/>
        <w:gridCol w:w="293"/>
        <w:gridCol w:w="1002"/>
        <w:gridCol w:w="150"/>
        <w:gridCol w:w="109"/>
        <w:gridCol w:w="109"/>
        <w:gridCol w:w="109"/>
        <w:gridCol w:w="109"/>
        <w:gridCol w:w="109"/>
        <w:gridCol w:w="109"/>
        <w:gridCol w:w="294"/>
        <w:gridCol w:w="990"/>
        <w:gridCol w:w="215"/>
      </w:tblGrid>
      <w:tr>
        <w:trPr/>
        <w:tc>
          <w:tcPr>
            <w:tcW w:w="232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inventory obsolescence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purchases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on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members'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76580"/>
                <wp:effectExtent l="0" t="0" r="0" b="0"/>
                <wp:wrapNone/>
                <wp:docPr id="216" name="Frame206"/>
                <a:graphic xmlns:a="http://schemas.openxmlformats.org/drawingml/2006/main">
                  <a:graphicData uri="http://schemas.microsoft.com/office/word/2010/wordprocessingShape">
                    <wps:wsp>
                      <wps:cNvSpPr txBox="1"/>
                      <wps:spPr>
                        <a:xfrm>
                          <a:off x="0" y="0"/>
                          <a:ext cx="6480175" cy="576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9982" w:type="dxa"/>
        <w:jc w:val="left"/>
        <w:tblInd w:w="0" w:type="dxa"/>
        <w:tblLayout w:type="fixed"/>
        <w:tblCellMar>
          <w:top w:w="28" w:type="dxa"/>
          <w:left w:w="28" w:type="dxa"/>
          <w:bottom w:w="28" w:type="dxa"/>
          <w:right w:w="28" w:type="dxa"/>
        </w:tblCellMar>
      </w:tblPr>
      <w:tblGrid>
        <w:gridCol w:w="2244"/>
        <w:gridCol w:w="1970"/>
        <w:gridCol w:w="1980"/>
        <w:gridCol w:w="313"/>
        <w:gridCol w:w="1070"/>
        <w:gridCol w:w="161"/>
        <w:gridCol w:w="109"/>
        <w:gridCol w:w="109"/>
        <w:gridCol w:w="109"/>
        <w:gridCol w:w="109"/>
        <w:gridCol w:w="109"/>
        <w:gridCol w:w="109"/>
        <w:gridCol w:w="342"/>
        <w:gridCol w:w="999"/>
        <w:gridCol w:w="249"/>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 included in accounts payable as of period-end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financing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distributions to members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issued in change in control transaction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Aura rollover equity issued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Earnest rollover equity issued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SteelPro rollover equity issued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acquired from consolidation of VIE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424180"/>
                <wp:effectExtent l="0" t="0" r="0" b="0"/>
                <wp:wrapNone/>
                <wp:docPr id="217" name="Frame207"/>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LLC and its subsidiaries (“Accelevation”, the “Company”, “we”, “our”, or “us”) is a vertically integrated provider of data center infrastructure solutions. The Company’s solutions include the design, manufacture, and installation of infrastructure products and services that power and protect data centers' digital economy. Our comprehensive solution offerings include containment systems, power distribution solutions, cable conveyance, caging and security, and structural systems, complemented by a full suite of installation services, including licensed electrical fit-out, low-voltage installation, and infrastructure installation.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Predecessor and Successor Financial Statement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Buyer LLC ("Buyer") was formed on November 8, 2024 (“Inception”) for the purpose of acquiring Accelevation Holding Company, LLC and its subsidiaries. On January 2, 2025, Accelevation Buyer LLC, a subsidiary of Accelevation Topco LLC ("Topco"), entered into an agreement (the “Merger Agreement”) to acquire all of the outstanding stock of Accelevation Holding Company, LLC (hereinafter, the “Change in Control Transaction”). The Change in Control Transaction principally occurred through an investment from Olympus Partners, LP into Topco, which was funded by Olympus Growth Fund VIII, L.P. (collectively, “Olympus”). Accelevation LLC, a subsidiary of Accelevation Holding Company, LLC, elected to apply pushdown accounting in these financial statements as a result of the Change in Control Transaction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Change in Control Transaction was accounted for in accordance with the Financial Accounting Standards Board (“FASB”) Accounting Standards Codification (“ASC”) Topic 805, Business Combinations (“ASC 805”), and Buyer was determined to be the accounting acquirer (Note 3 – Acquisitions</w:t>
      </w:r>
      <w:r>
        <w:rPr>
          <w:rFonts w:ascii="Times New Roman;serif" w:hAnsi="Times New Roman;serif"/>
          <w:b/>
          <w:color w:val="000000"/>
          <w:sz w:val="20"/>
        </w:rPr>
        <w:t>)</w:t>
      </w:r>
      <w:r>
        <w:rPr>
          <w:rFonts w:ascii="Times New Roman;serif" w:hAnsi="Times New Roman;serif"/>
          <w:b w:val="false"/>
          <w:color w:val="000000"/>
          <w:sz w:val="20"/>
        </w:rPr>
        <w:t xml:space="preserve">. Accordingly, the accompanying consolidated financial statements and certain related notes are presented on a predecessor (“Predecessor”) and successor (“Successor”) basis. The financial information and disclosures presented herein for the Predecessor relate to the period from January 1, 2024 through December 31, 2024 (“Fiscal Year 2024”) and reflects the historical financial information for Accelevation Holding Company, LLC prior to the closing of the Change in Control Transaction. Although the Predecessor’s activities and financial results extend one day beyond Fiscal Year 2024 to include January 1, 2025, no financial results have been presented for January 1, 2025, which was a holiday on which no material operating activities occurred and, accordingly, there are no material financial results to report.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and disclosures presented herein for the Successor relate to the period from January 2, 2025 through December 31, 2025 (“Fiscal Year 2025”) and reflects the financial information for Accelevation LLC subsequent to the closing of the Change in Control Transaction. Although Buyer and Topco were formed on November 8, 2024, these entities were initially formed for the sole purpose of acquiring Accelevation Holding Company, LLC and, accordingly, had no material operations of their own prior to the Change in Control Transaction.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Hereinafter, the terms “Accelevation”, the “Company”, “we”, “our”, or “us” may be used to refer to the Predecessor and/or the Successor, as the context implies. Furthermore, hereinafter, references to (1) “the year ended December 31, 2024” and/or “Fiscal Year 2024” refer to the Predecessor, (2) “the year ended December 31, 2025” and/or “Fiscal Year 2025” refer to the Successor, and (3) “the years ended December 31, 2025 and 2024” contemplate activities and results reported for both the Successor and Predecessor, respectively. Refer also to the discussion of the “Black-Line Presentation and Black-Line Adjustments”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throughout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48285"/>
                <wp:effectExtent l="0" t="0" r="0" b="0"/>
                <wp:wrapNone/>
                <wp:docPr id="218" name="Frame20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Black-Line Presentation and Black-Line Adjustments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Predecessor and Successor consolidated financial information presented herein is not comparable due to the impacts of accounting for the Change in Control Transaction in accordance with ASC 805, including the application of acquisition and pushdown accounting effective as of January 2, 2025 (refer to Note 3 – Acquisitions). To highlight this lack of comparability, the accompanying financial information and disclosures include a “black line”, where applicable, to separate the Predecessor and Successor financial information (1) presented in the Company’s consolidated financial statements and (2) included in certain tables presented in the notes to the consolidated financial statements. Furthermore, where applicable, the notes to the consolidated financial statements include discrete headings to identify disclosures that are only applicable to either the Predecessor or the 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presented for the Predecessor and Successor exclude certain costs of the Predecessor that were contingent upon and triggered by consummation of the Change in Control Transaction. Such costs, referred to herein as "Black-Line Adjustments", include certain incremental charges that were incurred by the Predecessor due to the Change in Control Transaction (e.g., transaction bonuses), as well as certain Predecessor costs for which recognition was accelerated as a result of the Change in Control Transaction (e.g., equity-based compensation costs). Although these costs have not been recognized in the accompanying consolidated financial statements presented for the Predecessor and Successor, certain of these costs have been recognized for tax purposes.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Predecessor recognized $22.8 million in costs that have been accounted for as Black-Line Adjustments. These costs include $0.4 million related to employee transaction bonuses, $20.8 million related to accelerated equity-based compensation expense, and $1.6 million related to the early extinguishment of Predecessor debt. All costs that have been accounted for as Black-Line Adjustments were recognized based upon the contractual terms of agreements that preceded the Change in Control Transaction and as a direct result of consummation of the Change in Control Transaction. Employee transaction bonuses and equity-based compensation costs that have been accounted for as Black-Line Adjustments required no future service beyond the date of the Change in Control Transaction to be earned or to vest,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3 – Acquisitions for an expanded discussion of the treatment and presentation of all transaction costs incurred in connection with the consummation of the Change in Control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including a variable interest entity (“VIE”) for which the Company is the primary beneficiary. All significant intercompany accounts and transactions have been eliminated in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noncontrolling interest reflects an ownership interest in a consolidated subsidiary that is not attributable to the Company. Upon consummation of the acquisition of SteelPro LLC and SteelPro Memphis, LLC (See Note 3 – Acquisitions) on October 6, 2025, the Company acquired a variable interest in Fox Red, LLC (“Fox Red”), a consolidated variable interest entity (“VIE”) in which the Company does not have a direct equity ownership interest (refer to our accounting policy for “VIEs”). The equity interest in the net assets of Fox Red that is not attributable to the Company has been separately reported as a noncontrolling interest on our Consolidated Balance Sheets as of December 31, 2025 and our Consolidated Statements of Members' Equity for the year ended December 31, 2025. The net income attributable to the noncontrolling interest is presented as an adjustment to the Company's consolidated net income to arrive at net income attributable to Accelevation in the Consolidated Statements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accounting principles generally accepted in the United States of America (“GAAP”) requires management to make estimates and assumptions that affect (1) the reported amounts of assets and liabilities and the disclosure of contingent assets and liabilities as of the date of the consolidated financial statements and (2) the reported amounts of revenues and expenses during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48285"/>
                <wp:effectExtent l="0" t="0" r="0" b="0"/>
                <wp:wrapNone/>
                <wp:docPr id="219" name="Frame20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reporting periods. Examples of significant estimates that affect the amounts reported in our consolidated financial statements include, but are not limited to estimates applied to recognize revenue over time for certain customer contracts, the estimated fair value of and the amount of expense recognized for equity-based compensation awards, the allowance for credit losses, the net realizable value of inventory, the discount rate applied to our leases, the depreciable lives of our long-lived assets, the amortizable lives of our intangible assets, forecasts used to assess the carrying values of our long-lived assets and goodwill for impairment, and our accrued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base our estimates and assumptions on historical experience, currently available information and other facts and circumstances that we believe are reasonable. Actual results could differ from our estimates.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(the “JOBS Act”). Accordingly, the Company is eligible to take advantage of certain exemptions from various reporting and financial disclosure requirements that are applicable to other public companies that are not emerging growth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JOBS Act, an emerging growth company can take advantage of the extended transition period provided to private companies for adopting and complying with new or revised accounting standards. The Company has elected to take advantage of the extended transition period and, accordingly, will delay the adoption of accounting standards for which early adoption is not both permitted and elected until those standards would apply to private companies.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includes cash held in deposit accounts with traditional financial institutions, as well as highly liquid investments with original maturities of three months or less.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accounts receivable for invoiced receivables in the ordinary course of business. The Company invoices customers either at the time of delivery of our products or on a milestone basis, depending upon the nature of the contract. Accounts receivable are stated at the amount of consideration that the Company has an unconditional right to receive from its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payment terms extended to customers, which represent unsecured credit, are typically 30 to 60 days after the issuance of an invoice and do not require our customers to pay interest on outstanding amounts due to the Company. The Company recognizes an allowance for credit losses, which is determined based upon a review of outstanding receivables, historical collection information and existing economic conditions, adjusted for reasonable and supportable forecasts. Accounts past due by more than 120 days are considered delinquent. Delinquent receivables are written off after an evaluation of a customer’s individual credit situation and specific facts and circumstances.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allowance for credit losses for the years ended December 31, 2025 and 2024 were as follows:</w:t>
      </w:r>
    </w:p>
    <w:tbl>
      <w:tblPr>
        <w:tblW w:w="7595" w:type="dxa"/>
        <w:jc w:val="left"/>
        <w:tblInd w:w="0" w:type="dxa"/>
        <w:tblLayout w:type="fixed"/>
        <w:tblCellMar>
          <w:top w:w="28" w:type="dxa"/>
          <w:left w:w="28" w:type="dxa"/>
          <w:bottom w:w="28" w:type="dxa"/>
          <w:right w:w="28" w:type="dxa"/>
        </w:tblCellMar>
      </w:tblPr>
      <w:tblGrid>
        <w:gridCol w:w="1260"/>
        <w:gridCol w:w="1108"/>
        <w:gridCol w:w="1112"/>
        <w:gridCol w:w="109"/>
        <w:gridCol w:w="109"/>
        <w:gridCol w:w="109"/>
        <w:gridCol w:w="413"/>
        <w:gridCol w:w="915"/>
        <w:gridCol w:w="216"/>
        <w:gridCol w:w="109"/>
        <w:gridCol w:w="109"/>
        <w:gridCol w:w="109"/>
        <w:gridCol w:w="109"/>
        <w:gridCol w:w="109"/>
        <w:gridCol w:w="109"/>
        <w:gridCol w:w="402"/>
        <w:gridCol w:w="891"/>
        <w:gridCol w:w="297"/>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 (recovery) 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cash deposited at certain financial institutions which, at times, may exceeded the federally insured limits provided by the Federal Deposit Insurance Corporation ("FDIC"). At December 31, 2025,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48285"/>
                <wp:effectExtent l="0" t="0" r="0" b="0"/>
                <wp:wrapNone/>
                <wp:docPr id="220" name="Frame2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Company's cash held in deposit accounts in amounts that exceeded the FDIC's insurance limits totaled $15.3 million. The Company has not experienced any losses on such amounts and believes it is not subject to significant credit risk related to cash balances.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had certain customers whose revenue individually represented 10% or more of our total revenue, or whose accounts receivable balances individually represented 10% or more of our total accounts receivable, which are presented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each major customer as a percentage of total revenue during the years ended December 31, 2025 and 2024:</w:t>
      </w:r>
    </w:p>
    <w:tbl>
      <w:tblPr>
        <w:tblW w:w="5784" w:type="dxa"/>
        <w:jc w:val="left"/>
        <w:tblInd w:w="0" w:type="dxa"/>
        <w:tblLayout w:type="fixed"/>
        <w:tblCellMar>
          <w:top w:w="28" w:type="dxa"/>
          <w:left w:w="28" w:type="dxa"/>
          <w:bottom w:w="28" w:type="dxa"/>
          <w:right w:w="28" w:type="dxa"/>
        </w:tblCellMar>
      </w:tblPr>
      <w:tblGrid>
        <w:gridCol w:w="722"/>
        <w:gridCol w:w="635"/>
        <w:gridCol w:w="638"/>
        <w:gridCol w:w="344"/>
        <w:gridCol w:w="344"/>
        <w:gridCol w:w="857"/>
        <w:gridCol w:w="109"/>
        <w:gridCol w:w="109"/>
        <w:gridCol w:w="109"/>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December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from each major customer as a percentage of total accounts receivable as of December 31, 2025 and 2024:</w:t>
      </w:r>
    </w:p>
    <w:tbl>
      <w:tblPr>
        <w:tblW w:w="5784" w:type="dxa"/>
        <w:jc w:val="left"/>
        <w:tblInd w:w="0" w:type="dxa"/>
        <w:tblLayout w:type="fixed"/>
        <w:tblCellMar>
          <w:top w:w="28" w:type="dxa"/>
          <w:left w:w="28" w:type="dxa"/>
          <w:bottom w:w="28" w:type="dxa"/>
          <w:right w:w="28" w:type="dxa"/>
        </w:tblCellMar>
      </w:tblPr>
      <w:tblGrid>
        <w:gridCol w:w="722"/>
        <w:gridCol w:w="635"/>
        <w:gridCol w:w="638"/>
        <w:gridCol w:w="344"/>
        <w:gridCol w:w="344"/>
        <w:gridCol w:w="857"/>
        <w:gridCol w:w="109"/>
        <w:gridCol w:w="109"/>
        <w:gridCol w:w="109"/>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3</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4</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suppliers for the provision of many components and materials used in our infrastructure products. Some of the enclosure components, specifically various trims, seals, and gaskets, are highly customized for our Company and purchased by us from single sources. During the year-ended December 31, 2025, key single-sourced components did not represent a material portion of our raw material purchases; however, these components still represent critical components of certain of our product offerings. While we believe that we may be able to establish alternative supply relationships for our single-sourced components, the loss of one of these supply relationships could cause a material disruption to the delivery of our infrastructure products and therefore have a material effect on our business, financial condition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Contract Assets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the Company’s right to consideration for work completed but not billed at the reporting date. Contract assets are transferred to receivables when rights become unconditional.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of raw materials, work in process, and finished goods. Inventories are stated at the lower of cost or net realizable value. Costs are determined using the average-cost method.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48285"/>
                <wp:effectExtent l="0" t="0" r="0" b="0"/>
                <wp:wrapNone/>
                <wp:docPr id="221" name="Frame2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inventory for excess quantities, obsolescence, and other indicators that the carrying amount may not be recoverable. When management determines that inventory is in excess of anticipated usage or its net realizable value is less than cost, the Company records a reserve to reduce the carrying value of inventory to its estimated net realizable value. Inventory write-offs are charged against the reserve when the related inventory is disposed of or otherwise deemed no longer recoverable. Refer to Note 7 – Other Financial Information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acquisitions are stated at cost, less accumulated depreciation. Depreciation is charged to expense on the straight-line basis over the estimated useful life of each asset. Refer to Note 6 – Property, Plant and Equipment, Net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to be sold (a "disposal group") as held for sale in the period when all of the following criteria are met: (i) management, having the authority to approve the action,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expected to be completed within one year. Assets and liabilities identified as held for sale, along with an allocation of goodwill, are presented separately on the Company’s Consolidated Balance Sheets beginning as of the period in which all of the aforementioned criteria are met. If the assets classified as held for sale constitute a reporting unit, the goodwill associated with that reporting unit is also classified as held for sale. If the assets do not constitute a reporting unit but instead represent a business within a reporting unit, the Company allocates goodwill to the disposal group based on the relative fair values of the portion being disposed of and the portion being retained. Depreciation and amortization expense is not recorded for property, plant and equipment; intangible assets; and right-of-use assets that have been classified as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a disposal group is classified as held for sale, adjustments are made, as necessary, to measure the disposal group at the lower of its carrying value or fair value less cost to sell. Any loss that may result from remeasurement upon reclassification to held for sale is recognized in the same period in which all of the held for sale criteria are met and reported in Operating income in our Consolidated Statements of Operations. For each period that a disposal group remains classified as held for sale, its recoverability is reassessed, and the Company records additional adjustments to the carrying value of the disposal group, as necessary. Gains or losses on the sale of a disposal group are not recognized until the date of sale. If a disposal group does not qualify as a discontinued operations, the gain or loss upon sale is included in Operating income in our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classifying a disposal group as held for sale, the Company assesses, at least quarterly, whether a change in events or circumstances – including that probable disposition of the disposal group will occur within one year of original reclassification to held for sale – indicate that a change in classification may be necessary.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4 – Assets Held for Sale for further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consideration paid to acquire a business over the amounts assigned to the assets acquired and liabilities assumed in a business combination. Goodwill is not subject to amortization.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Subsequent to initial recognition, the Company tests goodwill for impairment at least annually. For purposes of impairment testing, the Company assigns goodwill to one or more components of a business referred to as a reporting unit. A reporting unit is defined as an operating segment or one level below an operating segment. The Company tests the goodwill assigned to its reporting unit annually on November 1</w:t>
      </w:r>
      <w:r>
        <w:rPr>
          <w:rFonts w:ascii="Times New Roman;serif" w:hAnsi="Times New Roman;serif"/>
          <w:b w:val="false"/>
          <w:color w:val="000000"/>
          <w:sz w:val="13"/>
        </w:rPr>
        <w:t>st</w:t>
      </w:r>
      <w:r>
        <w:rPr>
          <w:rFonts w:ascii="Times New Roman;serif" w:hAnsi="Times New Roman;serif"/>
          <w:b w:val="false"/>
          <w:color w:val="000000"/>
          <w:sz w:val="20"/>
        </w:rPr>
        <w:t xml:space="preserve">, and tests for impairment between annual tests if an event occurs or circumstances change that would indicate the carrying amount of goodwill at the reporting unit may be impaired.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48285"/>
                <wp:effectExtent l="0" t="0" r="0" b="0"/>
                <wp:wrapNone/>
                <wp:docPr id="222" name="Frame2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testing goodwill for impairment, the Company has the option first to perform a qualitative assessment to determine whether it is more likely than not that goodwill is impaired at a reporting unit. Alternatively, the Company can bypass the qualitative assessment and proceed directly to a quantitative test, which compares the carrying amount of a reporting unit, inclusive of the goodwill assigned to the reporting unit, to the reporting unit’s fair value. Goodwill impairment, if any, is measured and recognized based upon the amount by which the carrying amount of a reporting unit exceeds its fair value.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goodwill impairment was recognized during the years ended 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intangible assets include customer relationships, acquired technology, trade names, order backlog, and non-compete agreements. We amortize intangible assets with finite lives on a straight-line basis over their estimated useful lives, which extend up to 13 years. We assess intangible assets for impairment whenever events or changes in circumstances indicate that their carrying value may not be recoverable, consistent with the Company's accounting policy for other long-lived assets with finite lives.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Long-Lived Asset Impairment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are less than the carrying amount of the asset, the asset cost is adjusted to fair value and an impairment loss is recognized as the amount by which the carrying amount of a long-lived asset exceeds its fair value.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long-lived asset impairment was recognized during the years ended 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for projects where the customer has been billed and all requirements have not yet been met to recognize revenue. Deposits received from customers in advance are also included in contract liabilities.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issuance costs represent costs incurred in connection with the issuance of long-term debt. Such costs are amortized over the term of the respective debt using the effective interest method.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member equity during the year ended December 31, 2023, the Company received promissory notes from members in the amount of $0.4 million. The principal amounts of the promissory notes were due in April 2028 or could be satisfied earlier in accordance with the terms of the underlying agreements. The notes had a stated interest rate of 4.15%. Interest income attributable to the notes is included in interest income.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December 31, 2024, the outstanding principal amount on the promissory notes was $0.1 million, which has been presented as a reduction of equity. The note was repaid in full on January 2</w:t>
      </w:r>
      <w:r>
        <w:rPr>
          <w:rFonts w:ascii="Times New Roman;serif" w:hAnsi="Times New Roman;serif"/>
          <w:b w:val="false"/>
          <w:color w:val="000000"/>
          <w:sz w:val="13"/>
        </w:rPr>
        <w:t>nd</w:t>
      </w:r>
      <w:r>
        <w:rPr>
          <w:rFonts w:ascii="Times New Roman;serif" w:hAnsi="Times New Roman;serif"/>
          <w:b w:val="false"/>
          <w:color w:val="000000"/>
          <w:sz w:val="20"/>
        </w:rPr>
        <w:t xml:space="preserve">, 2025, and accordingly, no outstanding balance remained as of December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or contains a lease at inception. When the Company determines that an arrangement either is or contains a lease, the Company must determine the lease term. A lease arrangement may include options to extend the lease, terminate the lease, or purchase the leased asset. The Company includes periods covered by option(s) to extend a lease in the lease term if the Company is reasonably certain to exercise that option. The Company includes periods covered by an option to terminate a lease in the lease term if the Company is reasonably certain not to exercise that option.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48285"/>
                <wp:effectExtent l="0" t="0" r="0" b="0"/>
                <wp:wrapNone/>
                <wp:docPr id="223" name="Frame2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a lease shall be classified as an operating lease or a finance lease at the lease commencement date. The Company’s assessment of whether a lease shall be accounted for as an operating or financing lease considers (1) whether the lease transfers ownership of the underlying leased asset by or at the end of the lease; (2) if applicable, whether the Company is reasonably certain to exercise its option to purchase the underlying leased asset; (3) the lease term relative to the remaining economic life of the underlying leased asset; (4) discounted cash flows attributable to the lease, relative to the fair value of the underlying leased asset; and (5) whether the underlying lease asset is of such a specialized nature that it is expected to have no alternative use to the lessor at the end of the lease term.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not to record leases with an initial term of 12 months or less on the Consolidated Balance Sheets and recognizes lease expense related to such leases on a straight-line basis over the lease term. Leases with an initial term in excess of 12 months result in the recognition of right-of-use (ROU) assets and lease liabilities on the Consolidated Balance Sheets. ROU assets represent the right to use an underlying asset for the lease term, and lease liabilities represent the obligation to make lease payments arising from the lease, measured on a discounted basis.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combines lease and nonlease components in calculating the ROU assets and lease liabilities that shall be recognized upon execution, modification, or assumption of a lease. At lease commencement, the lease liability is measured at the present value of the lease payments over the lease term. Our leases generally do not provide an implicit rate and, accordingly, we estimate an incremental borrowing rate based on information available at the lease commencement date to conclude upon the discount rate that shall be applied to determine the present value of the future lease payments. The ROU asset equals the lease liability adjusted for any initial direct costs, prepaid or deferred rent, and lease incentives.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leases may require the Company to pay executory costs such as property taxes, maintenance, and insurance. When the Company’s payment obligations related to executory costs are fixed and specified as part of the rental payments identified within a lease contract, such amounts are included in the measurement of the ROU asset and lease liability recognized upon recording the lease. When the Company’s payment obligations related to executory costs are variable in nature, they are excluded from the measurement of the ROU asset and lease liability recognized upon recording the lease and are accounted for as variable lease cost in the period in which the obligation for those payments is incurred.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of its revenue contracts to be within the scope of ASC 606, Revenue from Contracts with Customers, (“ASC 606”). The Company recognizes revenue based on a five-step process, which includes: (i) identifying the contract with a customer; (ii) identifying the performance obligations in the contract; (iii) determining the transaction price; (iv) allocating the transaction price; and (v) recognizing revenue when or as the Company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inception of each contract, the Company evaluates the promised products and services and applies judgment to determine whether the contract should be accounted for as having one or more performance obligations. A performance obligation is a promise to transfer a distinct product or service to a customer and represents the unit of account for revenue recognition. A majority of the Company’s contracts generally provide for a set of integrated or highly interrelated products and services and are therefore accounted for as a single performance obligation. However, in cases where the Company provides more than one distinct good or service within a customer contract, the contract is separated into individual performance obligations which are accounted for discretely.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Once the Company identifies the performance obligations, the Company determines the transaction price. The transaction price is determined based on the consideration to which the Company will be entitled in exchange for transferring services or goods to the customer for the Company’s contracts and consists of milestone-based fees.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48285"/>
                <wp:effectExtent l="0" t="0" r="0" b="0"/>
                <wp:wrapNone/>
                <wp:docPr id="224" name="Frame2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transaction price if, in the Company’s judgment, it is probable that a significant future reversal of cumulative revenue under the contract will not occur. The Company may constrain a portion of the transaction price based upon its anticipated ability to meet certain contractual requirements. The Company’s contracts generally do not contain penalties, credits, price concessions, or other types of potential variable consideration. Warranties are provided on certain contracts, but do not typically provide for services beyond standard assurances and are therefore not considered to be a separate performance obligation.</w:t>
      </w:r>
    </w:p>
    <w:p>
      <w:pPr>
        <w:pStyle w:val="TextBody"/>
        <w:bidi w:val="0"/>
        <w:spacing w:lineRule="auto" w:line="288" w:before="160" w:after="120"/>
        <w:jc w:val="both"/>
        <w:rPr>
          <w:rFonts w:ascii="Times New Roman;serif" w:hAnsi="Times New Roman;serif"/>
          <w:b w:val="false"/>
          <w:i/>
          <w:color w:val="000000"/>
          <w:sz w:val="20"/>
        </w:rPr>
      </w:pPr>
      <w:r>
        <w:rPr>
          <w:rFonts w:ascii="Times New Roman;serif" w:hAnsi="Times New Roman;serif"/>
          <w:b w:val="false"/>
          <w:i/>
          <w:color w:val="000000"/>
          <w:sz w:val="20"/>
        </w:rPr>
        <w:t>Practical Expedients</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following practical expedients: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(right-to-invoice), (3) the Company does not disclose remaining unsatisfied performance obligations for contracts with an expected duration of 12 months or less (4) the Company does not account for shipping and handling activities as a separate performance obligation, but rather as an activity performed to transfer the promised good or service and (5) the Company recognizes the incremental costs of obtaining a contract as Selling, general and administrative expenses when incurred, because the Company's contracts generally have original terms of one year or less.</w:t>
      </w:r>
    </w:p>
    <w:p>
      <w:pPr>
        <w:pStyle w:val="TextBody"/>
        <w:bidi w:val="0"/>
        <w:spacing w:lineRule="auto" w:line="288" w:before="16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The Company recognizes revenue for each performance obligation identified when, or as, the performance obligation is satisfied by transferring the promised goods or services to the customer. The majority of the Company's revenue is recognized overtime as control is transferred to the customer. For most of the Company's contracts, this continuous transfer of control to the customer is supported by clauses in the contract that allow the customer to terminate the contract for convenience whereby the Company has a legally enforceable right to receive payment for costs incurred and a reasonable profit for products or services that do not have alternative uses to the Company. Revenues in these instances are recognized over time as control is continuously transferred to the customer during the contract term. The Company typically invoices its customers monthly with payment terms not to exceed</w:t>
      </w:r>
      <w:r>
        <w:rPr>
          <w:color w:val="000000"/>
        </w:rPr>
        <w:t xml:space="preserve"> </w:t>
      </w:r>
      <w:r>
        <w:rPr>
          <w:rFonts w:ascii="Times New Roman;serif" w:hAnsi="Times New Roman;serif"/>
          <w:b w:val="false"/>
          <w:color w:val="000000"/>
          <w:sz w:val="20"/>
        </w:rPr>
        <w:t xml:space="preserve">30 to 60 </w:t>
      </w:r>
      <w:r>
        <w:rPr>
          <w:rFonts w:ascii="Times New Roman;serif" w:hAnsi="Times New Roman;serif"/>
          <w:b w:val="false"/>
          <w:color w:val="000000"/>
          <w:sz w:val="20"/>
          <w:shd w:fill="FFFFFF" w:val="clear"/>
        </w:rPr>
        <w:t>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and would include labor, materials, subcontractors’ costs, and other direct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the work required to be performed on many performance obligations, the estimation of total cost at completion is complex, subject to many variables and requires significant judgment. Factors that require judgment and must be considered in estimating the cost of the work to be completed include the nature and complexity of the work to be performed, subcontractor performance and the risk and impact of delayed performance. Factors that must be considered in estimating the total transaction price may include contractual cost or performance incentives (such as incentive fees, award fees and penalties, if applicable) and other forms of variable consideration, as well as the Company’s historical experience and expectation for performance on the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 Revenue from Contracts with Customers for additional information about the Company’s revenue.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(Successor), the Company granted equity-based compensation in the form of profits interest awards (“Profits Interests”) under its 2025 equity incentive plan. During years prior to and including the year ended December 31, 2024 (Predecessor), the Company granted equity-based employee compensation awards in the form of Profits Interests under its 2022 equity incentive plan. Profit Interests granted under each equity incentive plan have included varying combinations of service conditions, performance conditions, and market conditions. The Company evaluated whether the Profit Interests granted under each of its plans should be accounted for as equity-based compensation pursuant to the guidance included in ASC Topic 718, Compensation—Stock Compensation (“ASC 718”) or akin to bonus compensation pursuant to the guidance in ASC Topic 710, Compensation—General, and concluded that the awards are subject to the guidance outlined in ASC 718.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48285"/>
                <wp:effectExtent l="0" t="0" r="0" b="0"/>
                <wp:wrapNone/>
                <wp:docPr id="225" name="Frame2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Company has further concluded that all issued Profit Interests shall be equity classified for purposes of Consolidated Balance Sheets presentation and, accordingly, shall be measured at their fair value as of the grant date for recognition purposes. For purposes of measuring the fair value of Profits Interests, as well as determining when the Company shall potentially begin to recognize the associated compensation expense (subject to the additional conditions of recognition described below), an awards grant date is the date upon which the Company and a grantee have a mutual understanding of all key terms and conditions of an award, including all vesting conditions (e.g., defined performance conditions).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awards with only service-based vesting conditions is expensed ratably on a straight-line basis over the full vesting term, including when the service-based vesting condition reflects graded vesting.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performance-based awards is expensed over an implicit or explicit service period when the performance condition is deemed probable of achievement. Performance-based awards that cliff vest are expensed ratably using the straight-line method; whereas, performance-based awards with graded vesting features are expensed using the graded vesting method. Equity-based compensation expense recorded for performance-based awards is reversed if the performance condition is no longer deemed probable of achievement or ultimately is not met. Certain awards are granted with a performance measure consisting of an annual non-GAAP-based performance target. For these awards, equity-based compensation expense is recognized when the annual non-GAAP-based performance target is deemed probable of achievement. For other awards, the vesting performance condition is the consummation of a change in control transaction. As a change in control transaction would not be deemed probable until its occurrence, no equity-based compensation expense is recognized related to these awards until the transaction occurs.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recognized with market conditions ("market-based awards") is determined using an option pricing valuation model, with a discount for lack of marketability applied, and is expensed over an implicit or explicit service period regardless of whether the market condition is probable of achievement or not. Market-based awards that cliff vest are expensed ratably using the straight-line method; whereas, market-based awards with graded vesting features are expensed using the graded vesting method. Equity-based compensation expense is not reversed if the market condition is not met.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policy is to recognize forfeitures as they occur.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 Equity-Based Compensation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costs are expensed as incurred and included in Selling, general and administrative expenses on the Consolidated Statements of Operations. The Company recorded advertising costs of $0.3 million and $0.3 million for the years ended December 31, 2025 and 2024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160" w:after="283"/>
        <w:ind w:left="0" w:right="0" w:firstLine="288"/>
        <w:jc w:val="both"/>
        <w:rPr/>
      </w:pPr>
      <w:r>
        <w:rPr>
          <w:rFonts w:ascii="Times New Roman;serif" w:hAnsi="Times New Roman;serif"/>
          <w:b w:val="false"/>
          <w:color w:val="000000"/>
          <w:sz w:val="20"/>
        </w:rPr>
        <w:t xml:space="preserve">All derivatives are accounted for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are recorded on the Consolidated Balance Sheets at fair value. The accounting for changes in the fair value of derivatives depends on the intended use of the derivative, including whether (1) the Company has elected to designate a derivative in a hedging relationship and apply hedge accounting and (2)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The Company may enter into derivative contracts that are intended to economically hedge certain of its risks, even though hedge accounting does not apply or the Company elects not to apply hedge accounting.</w:t>
      </w:r>
    </w:p>
    <w:p>
      <w:pPr>
        <w:pStyle w:val="TextBody"/>
        <w:bidi w:val="0"/>
        <w:spacing w:lineRule="auto" w:line="288" w:before="160" w:after="283"/>
        <w:ind w:left="0" w:right="0" w:first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enter into derivative financial instruments to manage exposures that arise from business activities that result in the receipt or payment of future known and uncertain cash amounts, the value of which are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48285"/>
                <wp:effectExtent l="0" t="0" r="0" b="0"/>
                <wp:wrapNone/>
                <wp:docPr id="226" name="Frame2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determined by interest rates. The Company’s derivative financial instruments are used to manage differences in the amount, timing, and duration of the Company’s expected cash payments principally related to the Company’s borrowings. </w:t>
      </w:r>
    </w:p>
    <w:p>
      <w:pPr>
        <w:pStyle w:val="TextBody"/>
        <w:bidi w:val="0"/>
        <w:spacing w:lineRule="auto" w:line="288" w:before="160" w:after="283"/>
        <w:ind w:left="0" w:right="0" w:firstLine="288"/>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not designated as hedges are not speculative and are used to manage the Company’s exposure to interest rate movements and other identified risks but the Company has not elected to apply hedge accounting. Changes in the fair value of derivatives not designated in hedging relationships are recorded as interest expense directly in earnings. </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14 – Fair Value Measurement for additional detail.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Company being a partnership, it is not directly subject to income taxes under the provisions of the Internal Revenue Code in the Successor period. Therefore, taxable income or loss is reported to the individual partners for inclusion in their respective tax returns, and no provision for federal income taxes has been included in the accompanying consolidated financial statements in the Successor period. Accelevation is however subject to various entity level US state taxes, and the tax provision for those state taxes are included in the consolidated financial statements in the Successor period. The Predecessor was subject to income taxes through a wholly-owned subsidiary. An income tax provision has been included in the consolidated financial statements in the Predecessor period, reflecting cumulative differences in accordance with ASC740. See Note 1 – Description of Business and Basis of Presentation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entity in which the Company holds a direct or indirect variable interest is a VIE is based on several factors, including whether the entity’s total equity investment at risk at the time of investment is sufficient to finance the entity’s activities without additional subordinated financial support or whether the holders of the equity investment at risk have the power through voting rights to direct the activities that most significantly impact the entity’s performance. This determination is made at the inception of the variable interest and upon the occurrence of a reconsideration event. The Company makes judgments regarding the identification of a VIE first on a qualitative analysis, and then a quantitative analysis, if necessary.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evaluating whether the Company is the primary beneficiary of a VIE, it considers both its direct and indirect economic interests in the entity. Determining which reporting entity, if any, is the primary beneficiary of a VIE is primarily a qualitative approach focused on identifying which reporting entity has both (1) the power to direct the activities of a VIE that most significantly impact such entity’s economic performance and (2) the obligation to absorb losses or the right to receive benefits from such entity that could potentially be significant to such entity. This analysis requires the exercise of judgment. The Company considers a variety of factors in identifying the entity that holds the power to direct matters that most significantly impact a VIE’s economic performance including, but not limited to, the ability to direct a VIE’s operating decisions and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18 – Variable Interest Entities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2023, the Financial Accounting Standards Board (“FASB”) issued Accounting Standards Update (“ASU”) No. 2023-07, “Improvements to Reportable Segment Disclosures” (“ASU 2023-07”). ASU 2023-07 expanded public entities’ segment disclosures by requiring the disclosure of (1) the title and position of the individual or the name of the group or committee identified as the chief operating decision maker, (2) significant segment expenses that are regularly provided to the CODM and included within each reported measure of segment profit or loss, and (3) an amount and description of the composition for other segment items. ASU 2023-07 also conformed interim period segment disclosure requirements with annual period segment disclosure requirements. The guidance in ASU 2023-07 became effective for fiscal years beginning after December 15, 2023, and for interim periods within fiscal years beginning after December 15, 2024. The Company has adopted ASU 2023-07, and all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48285"/>
                <wp:effectExtent l="0" t="0" r="0" b="0"/>
                <wp:wrapNone/>
                <wp:docPr id="227" name="Frame2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required segment disclosures as of and for the years ended December 31, 2025 and 2024 have been provided in Note 16 – Segment Information.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March 2024, the FASB issued ASU No. 2024-01, “Compensation-Stock Compensation (Topic 718) – Scope Application of Profits Interest and Similar Awards” (“ASU 2024-01”). ASU 2024-01 amends the guidance in Accounting Standard Codification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by adding an illustrative example to demonstrate and clarify how to apply the scope guidance to determine whether profits interest awards and similar awards should be accounted for as share-based payment arrangements under ASC 718, or accounted for pursuant to other authoritative guidance. For emerging growth companies following private company adoption dates, the guidance in ASU 2024-01 is required to be adopted for annual periods beginning after December 15, 2025, and interim periods within those annual periods, with early adoption permitted for both interim and annual financial statements that have not yet been issued or made available for issuance. Upon adoption, the amendments in ASU 2024-01 shall be applied either (1) retrospectively to all prior periods presented in the financial statements or (2) prospectively to profits interest and similar awards granted or modified on or after the date at which the entity first applies the amendments. The Company elected to early adopt ASU 2024-01 on a prospective basis, as of the start of its fiscal year ended December 31, 2025 (Successor Period), since (1) ASU 2024-01 provides additional clarity regarding the accounting treatment to be applied to profits interest awards and (2) the Company granted new profits interest awards in connection with the Change in Control Transaction consummated on January 2, 2025, as well as subsequently thereto during the year ended December 31, 2025. The adoption of the guidance provided in ASU 2024-01 assisted with Company’s determination that the profits interest awards granted during the year ended December 31, 2025, should be accounted for pursuant to ASC 718.</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No. 2025-03, “Business Combinations (Topic 805) and Consolidation (Topic 810): Determining the Accounting Acquirer in the Acquisition of a Variable Interest Entity” (“ASU 2025-03”). ASU 2025-03 changes how companies determine the accounting acquirer in certain business combinations involving variable interest entities. The new guidance requires consideration of the factors used for other acquisition transactions to assess which party is the accounting acquirer. ASU 2025-03 is effective for all entities for annual reporting periods beginning after December 15, 2026, and interim period within those annual periods, with early adoption permitted as of the beginning of an interim or annual reporting period. The guidance in ASU 2025-03 shall be applied prospectively to any acquisition transaction that occurs after the initial application date. The Company elected to early adopt ASU 2025-03 as of the start of its fiscal year ended December 31, 2025 (Successor Period). The adoption of ASU 2025-03 did not have an impact on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 Credit Losses (Topic 326) Measurement of Credit Losses for Accounts Receivable and Contract Assets” (“ASU 2025-05”). The amendments in this update provide a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ASU 2025-05 is effective for all entities for annual reporting periods beginning after December 15, 2025, and interim period within those annual periods, with early adoption permitted as of the beginning of any interim or annual reporting period for which financial statements have not yet been issued or made available for issuance. Entities electing to apply the practical expedient provided under this update to the existing accounting guidance shall adopt the provisions of ASU 2025-05 on a prospective basis. The Company has elected to early adopt ASU 2025-05 as of the start of its fiscal year ended December 31, 2025 (Successor Period). The adoption of ASU 2025-05 did not have a material impact on the Company's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“Improvements to Income Tax Disclosures” (“ASU 2023-09”), which expands public entities’ existing income tax disclosures related to annual periods to provide information to better assess how an entity’s operations, related tax risks, tax planning and operational opportunities affect its tax rate and prospects for future cash flows. ASU 2023-09 requires public entities to annually disclose specific categories in the rate reconciliation table of the income tax note, provide additional information for reconciling items that meet a quantitative threshold, and provide disaggregated information on income taxes paid by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48285"/>
                <wp:effectExtent l="0" t="0" r="0" b="0"/>
                <wp:wrapNone/>
                <wp:docPr id="228" name="Frame2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The provisions of this ASU are effective for emerging growth companies following private company adoption dates for fiscal years beginning after December 15, 2025, and early adoption is permitted for annual financial statements that have not yet been issued or made available for issuance. Furthermore, the provisions of this ASU may be applied on a prospective or retrospective basis. As of December 31, 2025, the Company had not adopted ASU 2023-09. The Company is currently evaluating the expected impact of adopting ASU 2023-09, which is expected to result in expanded footnote disclosures in the Company’s income tax footnote.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(“ASU 2024-03”). In January 2025, the FASB issued ASU No. 2025-01, “Income Statement—Reporting Comprehensive Income –Expense Disaggregation Disclosures (Subtopic 220-40)” to further clarify the effective date of ASU 2024-03. ASU 2024-03 amends ASC Topic 220, “Comprehensive Income,” to expand the disclosure of expense information in the notes to the consolidated financial statements. ASU 2024-03 requires public business entities to disaggregate specified income statement expenses, such as purchases of inventory, employee compensation, depreciation, amortization, and depletion into detailed categories presented in a tabular format. Additionally, ASU 2024-03 mandates (1) qualitative descriptions for expenses not separately disaggregated and (2) disclosure of the total amount of selling expenses including, in annual periods, disclosure of an entity's definition of selling expenses. As the guidance in ASU 2024-03 only applies to public business entities, there is no separate effective date for emerging growth companies following private company adoption dates. Accordingly, the Company will be required to adopt ASU 2024-03 based upon the effective dates for public business entities. Public business entities are required to adopt the guidance in ASU 2024-03 for annual reporting periods beginning after December 15, 2026, and interim reporting periods beginning after December 15, 2027. Early adoption of ASU 2024-04 is permitted, and the provision of this ASU may be applied prospectively or retrospectively upon adoption. The Company is currently evaluating the impact of adopting ASU 2024-03, which impact is expected to be the inclusion of expanded disclosures regarding the expenses reported on the Company’s Consolidated Statements of Operations and in the notes to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 Accounting for Government Grants Received by Business Entities” (“ASU 2025-10”). ASU 2025-10 establishes authoritative guidance on how to recognize, measure, and present government grants received by business entities. For emerging growth companies following private company adoption dates, the guidance in ASU 2025-10 is required to be adopted for annual reporting periods beginning after December 15, 2029, and interim reporting periods within those annual reporting periods, with early adoption permitted for both interim and annual financial statements that have not yet been issued or made available for issuance. If an entity early adopts in an interim reporting period, it must adopt as of the beginning of the annual reporting period that includes that interim reporting period. The ASU may be applied using a modified prospective, modified retrospective or a full retrospective approach. As of December 31, 2025, the Company had not adopted ASU 2025-10. The Company is currently evaluating the expected impact of adopting ASU 2025-10.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other recently issued accounting pronouncements and does not believe the adoption of such pronouncements will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the discussion of “Basis of Presentation” in Note 1 – Description of Business and Basis of Presentation, the Change in Control Transaction was consummated on January 2, 2025, and has been accounted for using the acquisition method of accounting in accordance with ASC 805. Upon consummation of the transaction, consideration of $480.6 million, consisting of $403.1 million of cash, rollover equity with a fair value of $65.1 million, and non-cash consideration of $12.3 million was exchanged for all of Accelevation Holding Company, LLC’s outstanding equity. The fair value of the equity rollover consideration was determined on a consistent basis with the price at which the same class of equity units were sold by Topco to raise a portion of the cash used to consummate the Change in Control Transaction. The non-cash consideration relates to deferred tax liabilities that are included in Buyer's basis and reflect additional goodwill pushed down to Accelevation LLC.</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48285"/>
                <wp:effectExtent l="0" t="0" r="0" b="0"/>
                <wp:wrapNone/>
                <wp:docPr id="229" name="Frame2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costs related to the Change in Control Transaction included amounts incurred by the acquiree, the sellers, and the buyer. The Company has accounted for these transaction costs as follows based upon the party to the transaction that incurred the costs and the nature and substance of the costs incurred: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Acquiree's Transaction Expenses</w:t>
      </w:r>
      <w:r>
        <w:rPr>
          <w:rFonts w:ascii="Times New Roman;serif" w:hAnsi="Times New Roman;serif"/>
          <w:b w:val="false"/>
          <w:color w:val="000000"/>
          <w:sz w:val="20"/>
        </w:rPr>
        <w:t>: Transaction expenses incurred by the acquiree have been included in the Predecessor's financial statements for the year ended December 31, 2024, unless the transaction expenses represent amounts that were contingent upon the consummation of the transaction, in which case the transaction expenses have been accounted for as Black-Line Adjustments. Transaction expenses of the acquiree included in the Predecessor's financial statements for the year ended December 31, 2024 totaled $1.8 million, which has been reported in Selling, general and administrative expenses in the Company’s Consolidated Statements of Operations. Transaction expenses of the acquiree accounted for as Black-Line Adjustments totaled $22.8 million.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Sellers' Transaction Expenses</w:t>
      </w:r>
      <w:r>
        <w:rPr>
          <w:rFonts w:ascii="Times New Roman;serif" w:hAnsi="Times New Roman;serif"/>
          <w:b w:val="false"/>
          <w:color w:val="000000"/>
          <w:sz w:val="20"/>
        </w:rPr>
        <w:t>: Transaction expenses related to legal advisors, investment bankers, and other third-party transaction advisors of the sellers are not reflected in the Predecessor or Successor financial statements, as they were incurred for services provided to the sellers. These transaction expenses included a $5.0 million success fee that was contingent upon the closing of the transaction. Cash amounts distributed upon transaction closing to settle liabilities attributable to the sellers' transaction expenses, in lieu of distribution to the sellers, totaled $5.8 million, and have been accounted for as part of purchase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Buyer's Transaction Expenses</w:t>
      </w:r>
      <w:r>
        <w:rPr>
          <w:rFonts w:ascii="Times New Roman;serif" w:hAnsi="Times New Roman;serif"/>
          <w:b w:val="false"/>
          <w:color w:val="000000"/>
          <w:sz w:val="20"/>
        </w:rPr>
        <w:t>: Transaction expenses related to legal advisors and other third-party transaction advisors of the buyer, including a $4.6 million success fee that was contingent upon the closing of the transaction, have been accounted for as acquirer transaction costs. Buyer transaction costs incurred and settled in conjunction with or subsequent to the closing of transaction totaled $5.9 million, which amount was expensed as incurred and included in Selling, general and administrative expenses in the Successor's Consolidated Statements of Operations for the year ended December 31, 2025 in accordance with the required accounting treatment for acquirer transaction costs under ASC 805. The buyer also incurred $3.8 million of transaction expenses prior to the closing of the transaction that were settled in conjunction with or subsequent to the closing of the transactions. These costs were expensed as incurred and recognized in the income statement of the buyer prior to the business combination. Since the Predecessor for purposes of the consolidated financial statements was deemed to be the historical results of Accelevation Holding Company, LLC, these transaction costs are not presented in the Consolidated Statements of Operations for the Predecessor period. However, these transaction costs have been reflected in the Successor opening accumulated deficit balance as of January 2, 2025 (Successor).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the application of the acquisition method of accounting under ASC 805, we recorded acquired assets and assumed liabilities at their estimated fair values as of the closing date of Change in Control Transaction. We determined the fair values of the assets acquired and liabilities assumed using valuation approaches and methodologies consistent with those described in ASC 820, “Fair Value Measurement” (“ASC 820”).</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48285"/>
                <wp:effectExtent l="0" t="0" r="0" b="0"/>
                <wp:wrapNone/>
                <wp:docPr id="230" name="Frame2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consideration attributable to the Change in Control Transaction, summarizing the amounts at which the identifiable assets acquired and liabilities assumed were recorded as of the transaction date:</w:t>
      </w:r>
    </w:p>
    <w:tbl>
      <w:tblPr>
        <w:tblW w:w="5274"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826"/>
        <w:gridCol w:w="221"/>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480,561 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transaction relates primarily to the assembled workforce and future cash flow of the acquired business. Goodwill attributable to this transaction is partially deductible for tax purposes by the Company's parent entities.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recorded upon consummation of the Change in Control Transaction was $46.5 million. The gross contractual amount of accounts receivable at the time of consummation of this transaction was $46.6 million, of which approximately $0.1 million was expected to be uncollectible as of the transaction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Change in Control Transaction:</w:t>
      </w:r>
    </w:p>
    <w:tbl>
      <w:tblPr>
        <w:tblW w:w="2908" w:type="dxa"/>
        <w:jc w:val="left"/>
        <w:tblInd w:w="0" w:type="dxa"/>
        <w:tblLayout w:type="fixed"/>
        <w:tblCellMar>
          <w:top w:w="28" w:type="dxa"/>
          <w:left w:w="28" w:type="dxa"/>
          <w:bottom w:w="28" w:type="dxa"/>
          <w:right w:w="28" w:type="dxa"/>
        </w:tblCellMar>
      </w:tblPr>
      <w:tblGrid>
        <w:gridCol w:w="721"/>
        <w:gridCol w:w="634"/>
        <w:gridCol w:w="639"/>
        <w:gridCol w:w="267"/>
        <w:gridCol w:w="267"/>
        <w:gridCol w:w="380"/>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9.3 years for finite lived intangible assets.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48285"/>
                <wp:effectExtent l="0" t="0" r="0" b="0"/>
                <wp:wrapNone/>
                <wp:docPr id="231" name="Frame2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Acquisition Transactions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SteelPro LLC and SteelPro Memphis,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the Company acquired 100% of the outstanding membership interests of SteelPro LLC and SteelPro Memphis, LLC (hereinafter, collectively “SteelPro”), a designer and fabricator of structural steel solutions for both commercial and industrial markets. The purpose of this acquisition was to vertically integrate SteelPro, a supplier prior to consummation of the acquisition, into the Company’s existing operations, as well as to expand the Company’s operating capacity.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SteelPro totaled $43.5 million, consisting of $35.4 million of cash and rollover equity with an estimated fair value of $8.1 million as of the acquisition date. The estimated fair value of the Company’s equity issued was determined based upon a third-party valuation of the Company’s equity at the acquisition date, as there is no active market for the Company’s equity. In addition, the Company incurred approximately $1.0 million of third-party, acquisition-related costs, which have been included in Selling, general and administrative expenses in the Company’s Consolidated Statements of Operations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acquisition of SteelPro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5102"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12" w:after="283"/>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12" w:after="283"/>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48285"/>
                <wp:effectExtent l="0" t="0" r="0" b="0"/>
                <wp:wrapNone/>
                <wp:docPr id="232" name="Frame2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partially deductible for tax purposes. The Company is able to deduct approximately $12.9 million of goodwill for tax purposes.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acquired as part of the acquisition was $5.8 million. The gross contractual amount of accounts receivable acquired was $5.9 million, of which approximately $0.1 million was expected to be uncollectible as of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SteelPro:</w:t>
      </w:r>
    </w:p>
    <w:tbl>
      <w:tblPr>
        <w:tblW w:w="3236" w:type="dxa"/>
        <w:jc w:val="left"/>
        <w:tblInd w:w="0" w:type="dxa"/>
        <w:tblLayout w:type="fixed"/>
        <w:tblCellMar>
          <w:top w:w="28" w:type="dxa"/>
          <w:left w:w="28" w:type="dxa"/>
          <w:bottom w:w="28" w:type="dxa"/>
          <w:right w:w="28" w:type="dxa"/>
        </w:tblCellMar>
      </w:tblPr>
      <w:tblGrid>
        <w:gridCol w:w="721"/>
        <w:gridCol w:w="632"/>
        <w:gridCol w:w="642"/>
        <w:gridCol w:w="109"/>
        <w:gridCol w:w="109"/>
        <w:gridCol w:w="109"/>
        <w:gridCol w:w="267"/>
        <w:gridCol w:w="267"/>
        <w:gridCol w:w="380"/>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months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7.6 years for finite lived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reported results of operations for the year ended December 31, 2025 include $5.9 million and $0.8 million of revenue and net loss, respectively, related to the operations of SteelPro subsequent to the acquisition date.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Aura Energy,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29, 2025, the Company acquired 100% of the assets of Aura Energy, LLC (“Aura”), a manufacturer of high-density power distribution products. This acquisition enhances the Company’s data center power offerings, adding the design, manufacture, and installation of custom power distribution units, remote power panels, and other UL-certified power distribution solutions to the Company’s portfolio of Power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Aura totaled $18.7 million and consisted of the following components measured at their estimated fair values:</w:t>
      </w:r>
    </w:p>
    <w:tbl>
      <w:tblPr>
        <w:tblW w:w="5042" w:type="dxa"/>
        <w:jc w:val="left"/>
        <w:tblInd w:w="0" w:type="dxa"/>
        <w:tblLayout w:type="fixed"/>
        <w:tblCellMar>
          <w:top w:w="28" w:type="dxa"/>
          <w:left w:w="28" w:type="dxa"/>
          <w:bottom w:w="28" w:type="dxa"/>
          <w:right w:w="28" w:type="dxa"/>
        </w:tblCellMar>
      </w:tblPr>
      <w:tblGrid>
        <w:gridCol w:w="1312"/>
        <w:gridCol w:w="1152"/>
        <w:gridCol w:w="1165"/>
        <w:gridCol w:w="109"/>
        <w:gridCol w:w="109"/>
        <w:gridCol w:w="109"/>
        <w:gridCol w:w="211"/>
        <w:gridCol w:w="72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rollover equity issued was determined based on the Company’s January 2, 2025 change-of-control valuation, which management concluded approximated fair value at the January 29, 2025 acquisition date, as there is no active market for the Company’s equity.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(“Contingent Consideration”) consists of additional post-closing cash payments that are (1) determined based upon agreed upon percentages of revenue generated from the sale of specified products during a 5-year period beginning as of the acquisition date and ending on the fifth anniversary thereof (the “Earnout Period”) and (2) calculated and paid annually to the sellers of Aura based upon qualifying non-GAAP revenue generated during each year comprising the Earnout Period. There is no defined limit regarding the amount of Contingent Consideration that could potentially become payable to the sellers of Aura on an annual basis or over the Earnout Period. The Company has concluded that the Contingent Consideration shall be accounted for as part of the acquisition purchase consideration, as there are no continuing employment conditions associated with earning the amounts payable under the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Contingent consideration has been determined based upon non-GAAP revenue projections and projections of the Company’s related payment obligations to Aura’s sellers, discounted to reflect the present value of the projected payment obligations. As the Contingent Consideration is liability classified and included in other long-term liabilities on the Consolidated Balance Sheets , it must be remeasured and recorded at fair value on a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48285"/>
                <wp:effectExtent l="0" t="0" r="0" b="0"/>
                <wp:wrapNone/>
                <wp:docPr id="233" name="Frame2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recurring basis, with changes in the fair value of the liability recorded to earnings in our consolidated statements of operations (refer to Note 14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purchase consideration, the Company incurred approximately $0.1 million of third-party, acquisition-related costs, which have been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acquisition of Aura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862" w:type="dxa"/>
        <w:jc w:val="left"/>
        <w:tblInd w:w="0" w:type="dxa"/>
        <w:tblLayout w:type="fixed"/>
        <w:tblCellMar>
          <w:top w:w="28" w:type="dxa"/>
          <w:left w:w="28" w:type="dxa"/>
          <w:bottom w:w="28" w:type="dxa"/>
          <w:right w:w="28" w:type="dxa"/>
        </w:tblCellMar>
      </w:tblPr>
      <w:tblGrid>
        <w:gridCol w:w="1249"/>
        <w:gridCol w:w="1097"/>
        <w:gridCol w:w="1103"/>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12" w:after="283"/>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12" w:after="283"/>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not deductible for tax purposes until the Company fulfills its obligation pursuant to the contingent consideration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Aura:</w:t>
      </w:r>
    </w:p>
    <w:tbl>
      <w:tblPr>
        <w:tblW w:w="3580" w:type="dxa"/>
        <w:jc w:val="left"/>
        <w:tblInd w:w="0" w:type="dxa"/>
        <w:tblLayout w:type="fixed"/>
        <w:tblCellMar>
          <w:top w:w="28" w:type="dxa"/>
          <w:left w:w="28" w:type="dxa"/>
          <w:bottom w:w="28" w:type="dxa"/>
          <w:right w:w="28" w:type="dxa"/>
        </w:tblCellMar>
      </w:tblPr>
      <w:tblGrid>
        <w:gridCol w:w="846"/>
        <w:gridCol w:w="743"/>
        <w:gridCol w:w="750"/>
        <w:gridCol w:w="109"/>
        <w:gridCol w:w="109"/>
        <w:gridCol w:w="109"/>
        <w:gridCol w:w="267"/>
        <w:gridCol w:w="267"/>
        <w:gridCol w:w="380"/>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7.9 years for finite lived intangible assets.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48285"/>
                <wp:effectExtent l="0" t="0" r="0" b="0"/>
                <wp:wrapNone/>
                <wp:docPr id="234" name="Frame2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results of operations for the year ended December 31, 2025 include the results of Aura subsequent to the acquisition date. Revenue and pre-tax income (loss) attributable to Aura are not separately disclosed because such amounts are immaterial and the operations of Aura were integrated into the Company's existing operations following the acquisition, making separate identification impracticable.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Earnest Solutions, LLC</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April 28, 2025, the Company acquired the assets of Earnest Solutions, LLC (“Earnest”), a respected power consulting, design, integration and implementation firm. This acquisition enhances the Company’s ability to</w:t>
      </w:r>
      <w:r>
        <w:rPr>
          <w:color w:val="000000"/>
        </w:rPr>
        <w:t xml:space="preserve"> </w:t>
      </w:r>
      <w:r>
        <w:rPr>
          <w:rFonts w:ascii="Times New Roman;serif" w:hAnsi="Times New Roman;serif"/>
          <w:b w:val="false"/>
          <w:color w:val="000000"/>
          <w:sz w:val="20"/>
        </w:rPr>
        <w:t>develop and deliver customer power distribution solutions at scale for the data center environments.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consideration paid to acquire Earnest totaled $6.0 million, consisting of $1.0 million of cash and equity with an estimated fair value of $5.0 million as of the acquisition date.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equity issued was determined based upon a third-party valuation of the Company’s equity at the acquisition date, as there is no active market for the Company’s equity units. In addition, the Company incurred immaterial third-party, acquisition-related costs, which have been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of Earnest using the acquisition method, as prescribed by ASC 805. Due to the limited operations of Earnest prior to consummation of the acquisition, assets and liabilities recorded in accordance with ASC 805 were limited to a non-compete intangible asset, recorded at an estimate fair value of $0.2 million and goodwill of $5.8 million. The non-compete intangible asset is being amortized over a period of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$1.0 million. of goodwill attributable to this acquisition is tax deductible.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results of operations for the year ended December 31, 2025 include the results of Earnest subsequent to the acquisition date. Revenue and pre-tax income (loss) attributable to Earnest are not separately disclosed because such amounts are immaterial and the operations of Earnest were integrated into the Company's existing operations following the acquisition, making separate identification impracticable.</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for the years ended December 31, 2025 and 2024 gives effect to (1) the Change in Control Transaction and (2) the acquisitions of Aura, Ernest, and SteelPro as if they had occurred on January 1, 2024. The unaudited pro forma results of operations have been prepared for informational purposes only, and do not necessarily represent what the results of operations would have been had the acquisition been completed on January 1, 2024. In addition, the unaudited pro forma results of operations are not intended to be a projection of future operating results, do not reflect cost savings from operational efficiencies or synergies that could result from the acquisitions, and do not reflect additional revenue opportunities that may result following the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supplemental pro forma financial information included in the table below includes pro forma adjustments for (i) revenue and costs recognized by each of the acquired businesses for periods prior to their acquisition dates; (ii) amortization that would have been recognized related to the acquired intangible assets at their acquisition-date fair values, (iii) estimated incremental interest expense associated with borrowings that were a source of funds for purchase consideration, (iv) the reclassification of approximately $7.0 million of acquisition-related costs from pro forma net income for the year ended December 31, 2025 to pro forma net loss for the year ended December 31, 2024 and (v) the estimated income tax effect on the pro forma adjustments: </w:t>
      </w:r>
    </w:p>
    <w:tbl>
      <w:tblPr>
        <w:tblW w:w="5317" w:type="dxa"/>
        <w:jc w:val="left"/>
        <w:tblInd w:w="0" w:type="dxa"/>
        <w:tblLayout w:type="fixed"/>
        <w:tblCellMar>
          <w:top w:w="28" w:type="dxa"/>
          <w:left w:w="28" w:type="dxa"/>
          <w:bottom w:w="28" w:type="dxa"/>
          <w:right w:w="28" w:type="dxa"/>
        </w:tblCellMar>
      </w:tblPr>
      <w:tblGrid>
        <w:gridCol w:w="554"/>
        <w:gridCol w:w="487"/>
        <w:gridCol w:w="488"/>
        <w:gridCol w:w="109"/>
        <w:gridCol w:w="109"/>
        <w:gridCol w:w="109"/>
        <w:gridCol w:w="284"/>
        <w:gridCol w:w="1114"/>
        <w:gridCol w:w="147"/>
        <w:gridCol w:w="109"/>
        <w:gridCol w:w="109"/>
        <w:gridCol w:w="109"/>
        <w:gridCol w:w="281"/>
        <w:gridCol w:w="1103"/>
        <w:gridCol w:w="2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48285"/>
                <wp:effectExtent l="0" t="0" r="0" b="0"/>
                <wp:wrapNone/>
                <wp:docPr id="235" name="Frame2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with the approval of those charged with governance, committed to a plan to sell Workplace Modular Systems, LLC (“WMS”) – a subsidiary that manufactures configurable workstation solutions and is not deemed core to the Company’s operations. As of December 31, 2025, WMS was available for immediate sale in its present condition, the Company had both initiated an active plan to locate a buyer and received interest from a potential buyer, there were no expectations for a significant change to the plan to sell WMS or that the plan would be withdrawn, and completion and recognition of the disposal of WMS within one year was deemed probable. Accordingly, the assets and liabilities of WMS have been reclassified and reported as current assets or liabilities held for sale in the Consolidated Balance Sheets prepared as of December 31, 2025. WMS’s net assets were reclassified to held for sale at their carrying value. No loss was recognized to measure WMS at the lower of its carrying value or fair value less costs to sell during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planned sale of this subsidiary has not been presented as a discontinued operation in the accompanying consolidated financial statements because the disposal does not represent a strategic shift that will have a major effect on the Company’s operations and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WMS that have been classified as held for sale at December 31, 2025:</w:t>
      </w:r>
    </w:p>
    <w:tbl>
      <w:tblPr>
        <w:tblW w:w="5148"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63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assets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liabilities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Revenue from Contracts with Customers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recognizes revenue from the sale of manufactured products and services when control of promised goods or services are transferred to customers in an amount that reflects the consideration the Company expects to be entitled to in exchange for those goods or services.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offerings include infrastructure solutions and power products. The majority of the Company’s revenue contracts relate to the manufacture and sale of customized infrastructure solutions, consisting of integrated “white space” systems that include structural infrastructure for power, cooling, and fiber/cable conveyance, thermal containment, and related design, installation, and lifecycle services, as well as certain third-party monitoring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48285"/>
                <wp:effectExtent l="0" t="0" r="0" b="0"/>
                <wp:wrapNone/>
                <wp:docPr id="236" name="Frame2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components. Modular systems, including the Company’s proprietary SkyBridge platform, serve as a key delivery mechanism, enabling customers to procure coordinated, factory-built systems or selected components for on-site installation. The promise to manufacture and install the integrated white space is considered a single performance obligation. Revenue is recognized over time using the cost-to-cost method (an input method), as control transfers continuously to the customer as the Company performs, including for arrangements with no alternative use and an enforceable right to payment upon customer termination. Progress is measured based on costs incurred relative to total estimated costs at completion, requiring the Company to prepare an estimate at completion (EAC), which represents management’s best estimate of the costs to complete a contract.</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Company enters into sales agreements that include performance obligations to deliver standard products, such as access panels, containment panels and systems, and doors, including dual sliding doors and power products such as power panels and branch circuit whips. While we sell power products on a standalone basis, these products are also heavily integrated into a broader infrastructure solutions as described above. Revenue for these standalone products is recognized at a point in time when control transfers to the customer, which generally occurs upon shipment or delivery, depending on contractual shipping terms.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Estimates of Progress Toward Completion</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2025, changes in estimates of progress toward completion on performance obligations recognized over time resulted in an immaterial unfavorable cumulative catch-up adjustment to revenue. No cumulative catch-up adjustments were recorded during the year ended December 31,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Contract Reserves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estimates of total costs to be incurred on a contract exceed total estimates of the transaction price, a provision for the entire loss is determined at the contract level and is recorded in the period in which the loss is evident, which the Company refers to as a loss contract reserve. For the year ended December 31, 2025, the Company recognized a provisional loss of $3.1 million for which the total costs incurred exceeded the total estimates of the project's transaction price. As of December 31, 2025, the loss contract reserve balance was $1.2 million. The Company did not record a provisional loss and no loss reserve was recorded as of and for the period ended December 31,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Measurement of Revenue</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the Company expects to receive in exchange for transferring distinct goods or providing services and is reported net of sales discounts and other customer allowances.</w:t>
      </w:r>
    </w:p>
    <w:p>
      <w:pPr>
        <w:pStyle w:val="TextBody"/>
        <w:bidi w:val="0"/>
        <w:spacing w:lineRule="auto" w:line="288" w:before="12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the timing of when such revenue is recognized during the years ended December 31, 2025 and 2024:</w:t>
      </w:r>
    </w:p>
    <w:tbl>
      <w:tblPr>
        <w:tblW w:w="6547"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84"/>
        <w:gridCol w:w="1114"/>
        <w:gridCol w:w="147"/>
        <w:gridCol w:w="109"/>
        <w:gridCol w:w="109"/>
        <w:gridCol w:w="109"/>
        <w:gridCol w:w="281"/>
        <w:gridCol w:w="1103"/>
        <w:gridCol w:w="205"/>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a period of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48285"/>
                <wp:effectExtent l="0" t="0" r="0" b="0"/>
                <wp:wrapNone/>
                <wp:docPr id="237" name="Frame2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contracts generally have original terms of one year or less, and has elected the practical expedient to exclude disclosures about remaining performance obligations for contracts with an original expected duration of one year or less. </w:t>
      </w:r>
    </w:p>
    <w:p>
      <w:pPr>
        <w:pStyle w:val="TextBody"/>
        <w:bidi w:val="0"/>
        <w:spacing w:lineRule="auto" w:line="288" w:before="120" w:after="200"/>
        <w:jc w:val="left"/>
        <w:rPr/>
      </w:pPr>
      <w:r>
        <w:rPr>
          <w:rFonts w:ascii="Times New Roman;serif" w:hAnsi="Times New Roman;serif"/>
          <w:b/>
          <w:i/>
          <w:color w:val="000000"/>
          <w:sz w:val="20"/>
          <w:shd w:fill="FFFFFF" w:val="clear"/>
        </w:rPr>
        <w:t>Con</w:t>
      </w:r>
      <w:r>
        <w:rPr>
          <w:rFonts w:ascii="Times New Roman;serif" w:hAnsi="Times New Roman;serif"/>
          <w:b/>
          <w:i/>
          <w:color w:val="000000"/>
          <w:sz w:val="20"/>
        </w:rPr>
        <w:t>tract Balances</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were $82.3 million, $46.5 million, and $27.1 million as of December 31, 2025, 2024, and 2023, respectively. Contract assets were $52.8 million, $12.1 million, and $1.9 million as of December 31, 2025, 2024 and 2023, respectively. Contract liabilities were $12.3 million, $15.2 million and $3.8 million as of December 31, 2025, 2024 and 2023,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 of $15.2 million and $3.8 million for the years ended December 31, 2025 and 2024, respectively, which was included in the corresponding contract liability balance at the beginning of the respective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were as follows:</w:t>
      </w:r>
    </w:p>
    <w:tbl>
      <w:tblPr>
        <w:tblW w:w="578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313"/>
        <w:gridCol w:w="1070"/>
        <w:gridCol w:w="161"/>
        <w:gridCol w:w="109"/>
        <w:gridCol w:w="109"/>
        <w:gridCol w:w="109"/>
        <w:gridCol w:w="109"/>
        <w:gridCol w:w="109"/>
        <w:gridCol w:w="109"/>
        <w:gridCol w:w="309"/>
        <w:gridCol w:w="1056"/>
        <w:gridCol w:w="22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liabilities were as follows;</w:t>
      </w:r>
    </w:p>
    <w:tbl>
      <w:tblPr>
        <w:tblW w:w="6860"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313"/>
        <w:gridCol w:w="1070"/>
        <w:gridCol w:w="161"/>
        <w:gridCol w:w="109"/>
        <w:gridCol w:w="109"/>
        <w:gridCol w:w="109"/>
        <w:gridCol w:w="109"/>
        <w:gridCol w:w="109"/>
        <w:gridCol w:w="109"/>
        <w:gridCol w:w="309"/>
        <w:gridCol w:w="1056"/>
        <w:gridCol w:w="22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and contract liabilities are primarily due to the timing of payments from customers and the Company satisfying performance obligations during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48285"/>
                <wp:effectExtent l="0" t="0" r="0" b="0"/>
                <wp:wrapNone/>
                <wp:docPr id="238" name="Frame2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Property, Plant and Equipment,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consisted of the following as of December 31, 2025 and 2024: </w:t>
      </w:r>
    </w:p>
    <w:tbl>
      <w:tblPr>
        <w:tblW w:w="10205" w:type="dxa"/>
        <w:jc w:val="left"/>
        <w:tblInd w:w="0" w:type="dxa"/>
        <w:tblLayout w:type="fixed"/>
        <w:tblCellMar>
          <w:top w:w="28" w:type="dxa"/>
          <w:left w:w="28" w:type="dxa"/>
          <w:bottom w:w="28" w:type="dxa"/>
          <w:right w:w="28" w:type="dxa"/>
        </w:tblCellMar>
      </w:tblPr>
      <w:tblGrid>
        <w:gridCol w:w="1019"/>
        <w:gridCol w:w="814"/>
        <w:gridCol w:w="818"/>
        <w:gridCol w:w="109"/>
        <w:gridCol w:w="109"/>
        <w:gridCol w:w="109"/>
        <w:gridCol w:w="283"/>
        <w:gridCol w:w="971"/>
        <w:gridCol w:w="147"/>
        <w:gridCol w:w="109"/>
        <w:gridCol w:w="109"/>
        <w:gridCol w:w="109"/>
        <w:gridCol w:w="109"/>
        <w:gridCol w:w="109"/>
        <w:gridCol w:w="109"/>
        <w:gridCol w:w="315"/>
        <w:gridCol w:w="922"/>
        <w:gridCol w:w="164"/>
        <w:gridCol w:w="109"/>
        <w:gridCol w:w="109"/>
        <w:gridCol w:w="109"/>
        <w:gridCol w:w="1041"/>
        <w:gridCol w:w="1041"/>
        <w:gridCol w:w="1362"/>
      </w:tblGrid>
      <w:tr>
        <w:trPr/>
        <w:tc>
          <w:tcPr>
            <w:tcW w:w="10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 (in years)</w:t>
            </w:r>
          </w:p>
        </w:tc>
      </w:tr>
      <w:tr>
        <w:trPr/>
        <w:tc>
          <w:tcPr>
            <w:tcW w:w="2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20 - 40</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building or the improvement's useful life</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7 - 15</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trucks and trailers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3 - 8</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5 - 10</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lease term or the asset's useful life</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(including software) for the years ended December 31, 2025 and 2024 was $2.0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Other Financial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the following as of December 31, 2025 and 2024: </w:t>
      </w:r>
    </w:p>
    <w:tbl>
      <w:tblPr>
        <w:tblW w:w="5629"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313"/>
        <w:gridCol w:w="1070"/>
        <w:gridCol w:w="161"/>
        <w:gridCol w:w="109"/>
        <w:gridCol w:w="109"/>
        <w:gridCol w:w="109"/>
        <w:gridCol w:w="109"/>
        <w:gridCol w:w="109"/>
        <w:gridCol w:w="109"/>
        <w:gridCol w:w="342"/>
        <w:gridCol w:w="999"/>
        <w:gridCol w:w="24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48285"/>
                <wp:effectExtent l="0" t="0" r="0" b="0"/>
                <wp:wrapNone/>
                <wp:docPr id="239" name="Frame2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recorded reserve for excess and obsolete inventory was $2.2 million and $0.7 million, respectively.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December 31, 2025 and 2024:</w:t>
      </w:r>
    </w:p>
    <w:tbl>
      <w:tblPr>
        <w:tblW w:w="8434" w:type="dxa"/>
        <w:jc w:val="left"/>
        <w:tblInd w:w="0" w:type="dxa"/>
        <w:tblLayout w:type="fixed"/>
        <w:tblCellMar>
          <w:top w:w="28" w:type="dxa"/>
          <w:left w:w="28" w:type="dxa"/>
          <w:bottom w:w="28" w:type="dxa"/>
          <w:right w:w="28" w:type="dxa"/>
        </w:tblCellMar>
      </w:tblPr>
      <w:tblGrid>
        <w:gridCol w:w="1564"/>
        <w:gridCol w:w="1376"/>
        <w:gridCol w:w="1379"/>
        <w:gridCol w:w="109"/>
        <w:gridCol w:w="109"/>
        <w:gridCol w:w="109"/>
        <w:gridCol w:w="313"/>
        <w:gridCol w:w="1070"/>
        <w:gridCol w:w="161"/>
        <w:gridCol w:w="109"/>
        <w:gridCol w:w="109"/>
        <w:gridCol w:w="109"/>
        <w:gridCol w:w="109"/>
        <w:gridCol w:w="109"/>
        <w:gridCol w:w="109"/>
        <w:gridCol w:w="309"/>
        <w:gridCol w:w="1056"/>
        <w:gridCol w:w="225"/>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Goodwill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year ended December 31, 2025 were as follows:</w:t>
      </w:r>
    </w:p>
    <w:tbl>
      <w:tblPr>
        <w:tblW w:w="4922"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211"/>
        <w:gridCol w:w="82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(Successor period)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reclassified to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(1)Due to the Change in Control Transaction consummated on January 2, 2025 (refer to Note 3 – Acquisitions), and the resulting change in basis in the carrying value of the Company’s net assets (including the Company’s goodwill balance reported as of December 31, 2024), beginning goodwill reported for the Successor is $0. Goodwill attributable to the Change in Control Transaction, which totaled $160.8 million, has been included within “Acquisitions” in the table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recognized no accumulated impairment losses related to the goodwill balance reported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value of goodwill during Fiscal Year 2024. The Company's reported goodwill balance of $35.4 million at December 31, 2024 does not include any accumulated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48285"/>
                <wp:effectExtent l="0" t="0" r="0" b="0"/>
                <wp:wrapNone/>
                <wp:docPr id="240" name="Frame2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Intangible Assets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intangible assets (excluding goodwill) have finite amortizable lives. As of December 31, 2025, the Company’s intangible assets were as follows: </w:t>
      </w:r>
    </w:p>
    <w:tbl>
      <w:tblPr>
        <w:tblW w:w="6806" w:type="dxa"/>
        <w:jc w:val="left"/>
        <w:tblInd w:w="0" w:type="dxa"/>
        <w:tblLayout w:type="fixed"/>
        <w:tblCellMar>
          <w:top w:w="28" w:type="dxa"/>
          <w:left w:w="28" w:type="dxa"/>
          <w:bottom w:w="28" w:type="dxa"/>
          <w:right w:w="28" w:type="dxa"/>
        </w:tblCellMar>
      </w:tblPr>
      <w:tblGrid>
        <w:gridCol w:w="786"/>
        <w:gridCol w:w="691"/>
        <w:gridCol w:w="698"/>
        <w:gridCol w:w="109"/>
        <w:gridCol w:w="109"/>
        <w:gridCol w:w="109"/>
        <w:gridCol w:w="229"/>
        <w:gridCol w:w="898"/>
        <w:gridCol w:w="118"/>
        <w:gridCol w:w="109"/>
        <w:gridCol w:w="109"/>
        <w:gridCol w:w="109"/>
        <w:gridCol w:w="211"/>
        <w:gridCol w:w="796"/>
        <w:gridCol w:w="109"/>
        <w:gridCol w:w="109"/>
        <w:gridCol w:w="109"/>
        <w:gridCol w:w="109"/>
        <w:gridCol w:w="228"/>
        <w:gridCol w:w="895"/>
        <w:gridCol w:w="166"/>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 Value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301,040 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amortization expense was $32.8 million for the year ended December 31, 2025. The estimated future amortization expense related to our intangible assets reported as of December 31, 2025, is as follows for each of the next five years ended December 31 and thereafter:</w:t>
      </w:r>
    </w:p>
    <w:tbl>
      <w:tblPr>
        <w:tblW w:w="3858" w:type="dxa"/>
        <w:jc w:val="left"/>
        <w:tblInd w:w="0" w:type="dxa"/>
        <w:tblLayout w:type="fixed"/>
        <w:tblCellMar>
          <w:top w:w="28" w:type="dxa"/>
          <w:left w:w="28" w:type="dxa"/>
          <w:bottom w:w="28" w:type="dxa"/>
          <w:right w:w="28" w:type="dxa"/>
        </w:tblCellMar>
      </w:tblPr>
      <w:tblGrid>
        <w:gridCol w:w="958"/>
        <w:gridCol w:w="690"/>
        <w:gridCol w:w="692"/>
        <w:gridCol w:w="109"/>
        <w:gridCol w:w="109"/>
        <w:gridCol w:w="109"/>
        <w:gridCol w:w="211"/>
        <w:gridCol w:w="826"/>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intangible assets reported as of December 31, 2024 are not measured on the same basis as our intangible assets reported as of December 31, 2025 due to the Change in Control Transaction consummated on January 2, 2025 (see Note 3 – Acquisitions). During the year ended December 31, 2024, all of the Company’s intangible assets (excluding goodwill) had finite amortizable lives. As of December 31, 2024, the Company’s intangible assets were as follows:</w:t>
      </w:r>
    </w:p>
    <w:tbl>
      <w:tblPr>
        <w:tblW w:w="6979" w:type="dxa"/>
        <w:jc w:val="left"/>
        <w:tblInd w:w="0" w:type="dxa"/>
        <w:tblLayout w:type="fixed"/>
        <w:tblCellMar>
          <w:top w:w="28" w:type="dxa"/>
          <w:left w:w="28" w:type="dxa"/>
          <w:bottom w:w="28" w:type="dxa"/>
          <w:right w:w="28" w:type="dxa"/>
        </w:tblCellMar>
      </w:tblPr>
      <w:tblGrid>
        <w:gridCol w:w="786"/>
        <w:gridCol w:w="691"/>
        <w:gridCol w:w="698"/>
        <w:gridCol w:w="109"/>
        <w:gridCol w:w="109"/>
        <w:gridCol w:w="109"/>
        <w:gridCol w:w="264"/>
        <w:gridCol w:w="904"/>
        <w:gridCol w:w="136"/>
        <w:gridCol w:w="109"/>
        <w:gridCol w:w="109"/>
        <w:gridCol w:w="109"/>
        <w:gridCol w:w="230"/>
        <w:gridCol w:w="819"/>
        <w:gridCol w:w="121"/>
        <w:gridCol w:w="109"/>
        <w:gridCol w:w="109"/>
        <w:gridCol w:w="109"/>
        <w:gridCol w:w="262"/>
        <w:gridCol w:w="896"/>
        <w:gridCol w:w="191"/>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Gross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Net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amortization expense was $7.1 million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48285"/>
                <wp:effectExtent l="0" t="0" r="0" b="0"/>
                <wp:wrapNone/>
                <wp:docPr id="241" name="Frame2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Long-Term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as of December 31, 2025 and 2024 was as follows:</w:t>
      </w:r>
    </w:p>
    <w:tbl>
      <w:tblPr>
        <w:tblW w:w="10205" w:type="dxa"/>
        <w:jc w:val="left"/>
        <w:tblInd w:w="0" w:type="dxa"/>
        <w:tblLayout w:type="fixed"/>
        <w:tblCellMar>
          <w:top w:w="28" w:type="dxa"/>
          <w:left w:w="28" w:type="dxa"/>
          <w:bottom w:w="28" w:type="dxa"/>
          <w:right w:w="28" w:type="dxa"/>
        </w:tblCellMar>
      </w:tblPr>
      <w:tblGrid>
        <w:gridCol w:w="1041"/>
        <w:gridCol w:w="907"/>
        <w:gridCol w:w="885"/>
        <w:gridCol w:w="109"/>
        <w:gridCol w:w="109"/>
        <w:gridCol w:w="109"/>
        <w:gridCol w:w="436"/>
        <w:gridCol w:w="394"/>
        <w:gridCol w:w="396"/>
        <w:gridCol w:w="109"/>
        <w:gridCol w:w="109"/>
        <w:gridCol w:w="109"/>
        <w:gridCol w:w="587"/>
        <w:gridCol w:w="546"/>
        <w:gridCol w:w="543"/>
        <w:gridCol w:w="109"/>
        <w:gridCol w:w="109"/>
        <w:gridCol w:w="109"/>
        <w:gridCol w:w="258"/>
        <w:gridCol w:w="1013"/>
        <w:gridCol w:w="133"/>
        <w:gridCol w:w="109"/>
        <w:gridCol w:w="109"/>
        <w:gridCol w:w="109"/>
        <w:gridCol w:w="109"/>
        <w:gridCol w:w="109"/>
        <w:gridCol w:w="109"/>
        <w:gridCol w:w="283"/>
        <w:gridCol w:w="939"/>
        <w:gridCol w:w="209"/>
      </w:tblGrid>
      <w:tr>
        <w:trPr/>
        <w:tc>
          <w:tcPr>
            <w:tcW w:w="10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Related party notes payable, employees</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Related party notes payable,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(1)Variable interest rate was 9.67% at December 31, 2024. Amounts were repaid on January 2, 2025 in connection with the Change in Control Transaction.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(2)Variable interest rate was 9.67% at December 31, 2024. Amounts were repaid on January 2, 2025 in connection with the Change in Control Transaction. The effective interest rate was 10.63% as of December 31, 2024.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(3)These instruments were subordinated to the debt instruments in (A) and (B). Each instrument was repaid on January 2, 2025 in connection with the Change in Control Transaction.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(4)Four notes payable to employees due on various dates between July 2026 and October 2029. Amounts were repaid on January 2, 2025 in connection with the Change in Control Transaction.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together with certain of its subsidiaries, entered into a senior secured credit agreement (as amended, the “Credit Agreement”) with a syndicate of lenders.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initially provided for the following credit facilities: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of $200.0 million, funded on the closing date;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Delayed Draw Term Loan (“DDTL”) of up to $75.0 million, available for borrowing for up to 24 months in one or more draws following the closing date;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of $50.0 million</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48285"/>
                <wp:effectExtent l="0" t="0" r="0" b="0"/>
                <wp:wrapNone/>
                <wp:docPr id="242" name="Frame2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proceeds of the Term Loan was used, together with equity contributions, to repay the Company’s existing indebtedness and to finance the Change in Control Transaction along with related transaction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remaining availability under the DDTL was $26.8 million and remaining availability under the Revolver was $50.0 million. The Company incurs a 0.50% per annum commitment fee, payable quarterly.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Loans and DDTLs require quarterly principal payments, beginning September 30, 2025, equal to 0.25% of the initial principal amount, with the remaining balance due at maturity.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Amendment No. 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the Company entered into an amendment to the Credit Agreement (“Amendment No. 1”), which provided for (i) $20.0 million of incremental term loans and (ii) $10.0 million of incremental revolving credit commitments, increasing the total revolving commitments to $60.0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incremental term loans have the same terms and conditions as the existing credit agreement, including maturity date, interest rate structure, collateral, and guarantees. The proceeds of the incremental term loans were used to repay outstanding revolving credit borrowings.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Amendment No. 1 in accordance with ASC 470-50, Debt—Modifications and Extinguishments and concluded that it represented a modification for accounting purposes.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bear interest, at the Company’s option, at either a Benchmark Rate (based on Term SOFR, subject to a floor) or an Alternate Base Rate (“ABR”), plus an applicable margin, based on the Company's election at the onset of the borrowing. The applicable margin is determined based on the Secured Debt to Consolidated EBITDA ratio, ranging from 3.5% to 5.0%. During the year-ended December 31, 2025 the Company’s applicable margin was either 4.5% or 5.0%.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payable at the end of the applicable interest period, which is one month, for Benchmark Rate loans. The Term Loan and DDTL had effective interest rates of 8.8% and 8.7% as of December 31, 2025. The Revolving Credit Facility had an interest rate of 8.2% as of December 31, 2025.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senior secured and are guaranteed by substantially all of the Company’s existing and future domestic subsidiaries, subject to customary exceptions. The obligations are secured by a first-priority lien on substantially all assets of the Company and the guarantor subsidiaries, including pledges of equity interests, subject to customary exclusions.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restrictions on additional indebtedness, liens, asset sales, investments, restricted payments, and transactions with affiliates.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also includes financial covenants requiring the Company to maintain a maximum Secured Debt to Consolidated EBITDA ratio, tested quarterly. The Company was in compliance with all of the covenants at December 31, 2025.</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Contingent Redemption and Acceleration Features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change-of-control and event-driven provisions that may require the repayment or acceleration of outstanding borrowings upon the occurrence of certain contingent events, not currently considered likely to occur. Specifically, a change of control (as defined in the Credit Agreement), constitutes an event of default. Upon the occurrence of such an event, the lenders may declare all outstanding amounts under the Credit Agreement, including accrued interest and fees, to be immediately due and payable.</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48285"/>
                <wp:effectExtent l="0" t="0" r="0" b="0"/>
                <wp:wrapNone/>
                <wp:docPr id="243" name="Frame2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Aggregate annual maturities of our outstanding long-term debt at December 31, 2025 are as follows:</w:t>
      </w:r>
    </w:p>
    <w:tbl>
      <w:tblPr>
        <w:tblW w:w="2927" w:type="dxa"/>
        <w:jc w:val="left"/>
        <w:tblInd w:w="0" w:type="dxa"/>
        <w:tblLayout w:type="fixed"/>
        <w:tblCellMar>
          <w:top w:w="28" w:type="dxa"/>
          <w:left w:w="28" w:type="dxa"/>
          <w:bottom w:w="28" w:type="dxa"/>
          <w:right w:w="28" w:type="dxa"/>
        </w:tblCellMar>
      </w:tblPr>
      <w:tblGrid>
        <w:gridCol w:w="510"/>
        <w:gridCol w:w="449"/>
        <w:gridCol w:w="450"/>
        <w:gridCol w:w="109"/>
        <w:gridCol w:w="109"/>
        <w:gridCol w:w="109"/>
        <w:gridCol w:w="211"/>
        <w:gridCol w:w="82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Commenced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manufacturing facilities, warehouses, vehicles, and equipment. As of December 31, 2025, our leases had remaining committed lease terms of between 1 and 10 years; however, certain of our leases include renewal options of up to 10 years. Renewal options generally have not been included in (1) the determination of lease terms or (2) the measurement of our ROU asset and lease liability balances, as the Company typically has not concluded that such renewal options are reasonably certain to be exercised due to changes in the Company’s office space and facility needs to accommodate the Company’s growth. Early termination of our leases is generally prohibited unless there is a violation under the lease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leases have escalating lease payment schedules, resulting in varying increases in the rental payments due each year. Our lease agreements do not contain any material residual value guarantees or material restrictive covenants.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Leases Executed as of December 31, 2025, But Not Yet Commenced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amended a lease originally entered into in April 2025 for a new manufacturing facility in Miamisburg, OH. This new manufacturing facility, which was still being constructed by the lessor as of December 31, 2025 and, accordingly, was not yet available for use by the Company during the year then-ended, will consist of approximately 286,000 square feet. The committed lease term is for 124 months subsequent to the lease commencement date, which commenced in May 2026. Undiscounted minimum lease payments related to this facility, which escalate over the term of the lease, total $23.0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an amendment to the lease related to its headquarters location to expand the leased office space by an additional 25,000 square feet. The additional office space is currently being configured to meet the Company’s needs and, accordingly, control has not transferred to the Company. The committed lease term is for 10 years subsequent to the lease commencement date, which will be the earlier of (1) the date upon which the landlord delivers possession of the premises with the configuration work substantially completed or (2) the date that the Company occupies all or any portion. Undiscounted minimum lease payments related to this facility, which escalate over the term of the lease, total $6.4 million. The Company has also agreed to reimburse the landlord for design and build out costs that exceed an agreed-upon tenant allowance. The lease includes an option to be extended for an additional five years beyond the current committed lease term.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“Quantitative Disclosures” that follow do not include minimum lease payments or other quantitative information related to the Company’s leases that have not yet commenced.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Quantitative Disclosures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leases primarily consist of operating leases, for which the carrying values of the related ROU assets and lease liabilities are reported on our Consolidated Balance Sheets, the Company also has finance leases related to equipment. As of December 31, 2025 and 2024, the carrying amounts of our finance lease ROU assets and liabilities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48285"/>
                <wp:effectExtent l="0" t="0" r="0" b="0"/>
                <wp:wrapNone/>
                <wp:docPr id="244" name="Frame2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were immaterial and are included within other long-term assets, accrued expenses and other current liabilities (current portion), and other long-term liabilities (noncurrent portion) on the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for the years ended December 31, 2025 and 2024 were as follows:</w:t>
      </w:r>
    </w:p>
    <w:tbl>
      <w:tblPr>
        <w:tblW w:w="7596" w:type="dxa"/>
        <w:jc w:val="left"/>
        <w:tblInd w:w="0" w:type="dxa"/>
        <w:tblLayout w:type="fixed"/>
        <w:tblCellMar>
          <w:top w:w="28" w:type="dxa"/>
          <w:left w:w="28" w:type="dxa"/>
          <w:bottom w:w="28" w:type="dxa"/>
          <w:right w:w="28" w:type="dxa"/>
        </w:tblCellMar>
      </w:tblPr>
      <w:tblGrid>
        <w:gridCol w:w="1260"/>
        <w:gridCol w:w="1109"/>
        <w:gridCol w:w="1111"/>
        <w:gridCol w:w="109"/>
        <w:gridCol w:w="109"/>
        <w:gridCol w:w="109"/>
        <w:gridCol w:w="348"/>
        <w:gridCol w:w="1017"/>
        <w:gridCol w:w="180"/>
        <w:gridCol w:w="109"/>
        <w:gridCol w:w="109"/>
        <w:gridCol w:w="109"/>
        <w:gridCol w:w="109"/>
        <w:gridCol w:w="109"/>
        <w:gridCol w:w="109"/>
        <w:gridCol w:w="342"/>
        <w:gridCol w:w="999"/>
        <w:gridCol w:w="249"/>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amounts included in the measurement of lease liabilities is as follows for the years ended December 31, 2025 and 2024:</w:t>
      </w:r>
    </w:p>
    <w:tbl>
      <w:tblPr>
        <w:tblW w:w="8841" w:type="dxa"/>
        <w:jc w:val="left"/>
        <w:tblInd w:w="0" w:type="dxa"/>
        <w:tblLayout w:type="fixed"/>
        <w:tblCellMar>
          <w:top w:w="28" w:type="dxa"/>
          <w:left w:w="28" w:type="dxa"/>
          <w:bottom w:w="28" w:type="dxa"/>
          <w:right w:w="28" w:type="dxa"/>
        </w:tblCellMar>
      </w:tblPr>
      <w:tblGrid>
        <w:gridCol w:w="1711"/>
        <w:gridCol w:w="1505"/>
        <w:gridCol w:w="1509"/>
        <w:gridCol w:w="109"/>
        <w:gridCol w:w="109"/>
        <w:gridCol w:w="109"/>
        <w:gridCol w:w="348"/>
        <w:gridCol w:w="1017"/>
        <w:gridCol w:w="180"/>
        <w:gridCol w:w="109"/>
        <w:gridCol w:w="109"/>
        <w:gridCol w:w="109"/>
        <w:gridCol w:w="109"/>
        <w:gridCol w:w="109"/>
        <w:gridCol w:w="109"/>
        <w:gridCol w:w="342"/>
        <w:gridCol w:w="999"/>
        <w:gridCol w:w="249"/>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related to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related to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related to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related to the operating leases and finance leases recognized on our Consolidated Balance Sheets as of December 31, 2025, as well as a reconciliation of the minimum lease payments to the operating lease and finance lease liability balances recognized on our Consolidated Balance Sheets as of December 31, 2025, are as follows:</w:t>
      </w:r>
    </w:p>
    <w:tbl>
      <w:tblPr>
        <w:tblW w:w="7773" w:type="dxa"/>
        <w:jc w:val="left"/>
        <w:tblInd w:w="0" w:type="dxa"/>
        <w:tblLayout w:type="fixed"/>
        <w:tblCellMar>
          <w:top w:w="28" w:type="dxa"/>
          <w:left w:w="28" w:type="dxa"/>
          <w:bottom w:w="28" w:type="dxa"/>
          <w:right w:w="28" w:type="dxa"/>
        </w:tblCellMar>
      </w:tblPr>
      <w:tblGrid>
        <w:gridCol w:w="1490"/>
        <w:gridCol w:w="1008"/>
        <w:gridCol w:w="1011"/>
        <w:gridCol w:w="109"/>
        <w:gridCol w:w="109"/>
        <w:gridCol w:w="109"/>
        <w:gridCol w:w="358"/>
        <w:gridCol w:w="1226"/>
        <w:gridCol w:w="185"/>
        <w:gridCol w:w="109"/>
        <w:gridCol w:w="109"/>
        <w:gridCol w:w="109"/>
        <w:gridCol w:w="109"/>
        <w:gridCol w:w="109"/>
        <w:gridCol w:w="109"/>
        <w:gridCol w:w="440"/>
        <w:gridCol w:w="752"/>
        <w:gridCol w:w="322"/>
      </w:tblGrid>
      <w:tr>
        <w:trPr/>
        <w:tc>
          <w:tcPr>
            <w:tcW w:w="149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Operating Leases</w:t>
            </w:r>
            <w:r>
              <w:rPr>
                <w:rFonts w:ascii="Times New Roman;serif" w:hAnsi="Times New Roman;serif"/>
                <w:b/>
                <w:color w:val="000000"/>
                <w:sz w:val="12"/>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Finance Leases</w:t>
            </w:r>
            <w:r>
              <w:rPr>
                <w:rFonts w:ascii="Times New Roman;serif" w:hAnsi="Times New Roman;serif"/>
                <w:b/>
                <w:color w:val="000000"/>
                <w:sz w:val="12"/>
              </w:rPr>
              <w:t>(3)</w:t>
            </w:r>
            <w:r>
              <w:rPr>
                <w:color w:val="000000"/>
              </w:rPr>
              <w:t xml:space="preserve"> </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(1)Excludes minimum remaining operating lease payments of $3.3 million due to a consolidated variable interest entity as of December 31, 2025, as the related lease costs and cash flows are eliminated in consolidation. Refer to Note 18 – Variable Interest Entities for additional details. </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minimum remaining operating lease payments of $3.2 million related to lease liabilities attributable to WMS, which have been classified as liabilities held for sale as of December 31, 2025. Refer to Note 4 – Assets Held for Sale for additional details.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48285"/>
                <wp:effectExtent l="0" t="0" r="0" b="0"/>
                <wp:wrapNone/>
                <wp:docPr id="245" name="Frame2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(3)Excludes minimum remaining finance lease payments of $0.8 million due to lease liabilities associated with WMS that were classified as liabilities held for sale as of December 31, 2025. Refer to Note 4 – Assets Held for Sale for additional details.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and discount rate for our finance and operating leases as of December 31, 2025 and 2024, after excluding finance and operating leases associated with WMS, were as follows:</w:t>
      </w:r>
    </w:p>
    <w:tbl>
      <w:tblPr>
        <w:tblW w:w="10205" w:type="dxa"/>
        <w:jc w:val="left"/>
        <w:tblInd w:w="0" w:type="dxa"/>
        <w:tblLayout w:type="fixed"/>
        <w:tblCellMar>
          <w:top w:w="28" w:type="dxa"/>
          <w:left w:w="28" w:type="dxa"/>
          <w:bottom w:w="28" w:type="dxa"/>
          <w:right w:w="28" w:type="dxa"/>
        </w:tblCellMar>
      </w:tblPr>
      <w:tblGrid>
        <w:gridCol w:w="1249"/>
        <w:gridCol w:w="1096"/>
        <w:gridCol w:w="1100"/>
        <w:gridCol w:w="109"/>
        <w:gridCol w:w="109"/>
        <w:gridCol w:w="109"/>
        <w:gridCol w:w="429"/>
        <w:gridCol w:w="429"/>
        <w:gridCol w:w="431"/>
        <w:gridCol w:w="154"/>
        <w:gridCol w:w="154"/>
        <w:gridCol w:w="154"/>
        <w:gridCol w:w="380"/>
        <w:gridCol w:w="369"/>
        <w:gridCol w:w="371"/>
        <w:gridCol w:w="109"/>
        <w:gridCol w:w="109"/>
        <w:gridCol w:w="109"/>
        <w:gridCol w:w="109"/>
        <w:gridCol w:w="109"/>
        <w:gridCol w:w="109"/>
        <w:gridCol w:w="528"/>
        <w:gridCol w:w="419"/>
        <w:gridCol w:w="342"/>
        <w:gridCol w:w="152"/>
        <w:gridCol w:w="152"/>
        <w:gridCol w:w="152"/>
        <w:gridCol w:w="371"/>
        <w:gridCol w:w="325"/>
        <w:gridCol w:w="467"/>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Equity-Based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Qualitative Information Regarding the Accelevation Equity Incentive Plan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in connection with the Change in Control Transaction that was consummated on the same day (refer to Note 3 – Acquisitions), Topco executed the Accelevation Equity Incentive Plan (2025) (the “2025 Plan”), which was further amended and restated in April 2025. The incentive units granted to employees are incentive units of Topco.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the 2025 Plan is to motivate, retain, and reward certain current and future officers, directors, managers, employees, consultants, advisors, and other service providers (“Participants”) that contribute to the growth and profitability of the Company by providing such Participants the opportunity to participate in the appreciation of the equity value of the Company. The 2025 Plan is administered at the direction of the Company’s board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Awards are granted under the 2025 Plan generally consist of three tranches of awards (“Tranche A, “Tranche B”, and “Tranche C”) that include varying combinations of the following vesting conditions: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time-based service condition, which generally reflects graded vesting over 5 years, subject to acceleration in connection with a future sale transaction (“Sale Transaction”) as defined in the Company’s Amended and Restated Limited Liability Company Agreement;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performance condition, consisting of either an adjusted EBITDA target or the consummation of a Sale Transaction;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one or more market conditions, reflective of investor returns measured as an internal rate of return (“IRR”) on the investor’s investment (“Investor’s Investment”), as defined in the 2025 Plan, and/or a multiple of the Investor’s Investment.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Tranche A awards, evaluation of whether the stated market condition has been met is determined by the Board</w:t>
      </w:r>
      <w:r>
        <w:rPr>
          <w:color w:val="000000"/>
        </w:rPr>
        <w:t xml:space="preserve"> </w:t>
      </w:r>
      <w:r>
        <w:rPr>
          <w:rFonts w:ascii="Times New Roman;serif" w:hAnsi="Times New Roman;serif"/>
          <w:b w:val="false"/>
          <w:color w:val="000000"/>
          <w:sz w:val="20"/>
        </w:rPr>
        <w:t>based upon the assumption of a hypothetical Sale Transaction occurring as of each time-based (annual) vesting date. For Tranche B and Tranche C awards, evaluation of whether the stated market conditions have been met is determined upon consummation of a Sale Transaction. For all awards, the definition of a Sale Transaction means a transaction that results in a change in control of the Company or the sale of all or substantially of the Company’s assets and, accordingly, this condition is not automatically met upon consummation of an initial public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granted under the 2025 Plan was estimated using an Option Pricing Method. The Company utilizes the estimated time to a liquidity event to estimate the expected term of the awards. Expected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48285"/>
                <wp:effectExtent l="0" t="0" r="0" b="0"/>
                <wp:wrapNone/>
                <wp:docPr id="246" name="Frame2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Quantitative Disclosures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2025, the Company recognized $0.4 million of equity-based compensation expense related to awards granted under the 2025 Plan for which the vesting terms include a time-based service condition, an earnings-based performance target, and a market condition that is based upon achievement of a minimum IRR which has been included in selling, general, and administrative expenses on the consolidated statements of operations. This equity-based compensation expense is reported in selling, general, and administrative expenses on our consolidated statements of operations. Unrecognized equity-based compensation expense related to these awards totaled $3.1 million as of December 31, 2025, and is expected to be recognized over 5 years.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did not recognize any equity-based compensation related to awards granted under the 2025 Plan for which the vesting terms include a performance condition requiring the consummation of a Sale Transaction, as such performance condition cannot be deemed probable to occur until the Sale Transaction is consummated. Unrecognized equity-based compensation related to these awards totaled $1.3 million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predecessor entity had granted awards under the 2022 Accelevation Equity Plan (the “2022 Plan”). Under the 2022 Plan, one-third of the awards granted generally vest based on five years of continuous service, with 40% vesting two years after being granted, and 20% vesting each successive year after. Two-thirds of the awards granted contain performance vesting conditions related to change in control events and market condition. The fair value of awards granted under the 2022 Plan was estimated using an Option Pricing Method. The Company utilizes the estimated time to a liquidity event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recorded equity-based compensation of $0.4 million. As all unvested units under the 2022 Plan became vested as a result of the Change in Control Transaction and were settled at that time, remaining unrecognized compensation expense of $20.8 million was recognized as a Black Line Adjustment upon consummation of the Change in Control Transaction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Retirement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each of the years ended December 31, 2024 (Predecessor) and December 31, 2025 (Successor), the Company offered a 401(k) plan covering substantially all employees. Under this plan, employees can contribute a portion of their pre-tax or post-tax compensation, not to exceed the maximum amount allowable under the Internal Revenue Code. Employer contributions to the plan include a formula</w:t>
        <w:noBreakHyphen/>
        <w:t>based safe harbor matching contribution, reflecting a 100% match of up to the first 3% and 50% match of the up to the following 2% of eligible compensation contributed by an employee. The Company is also permitted to make additional discretionary contributions at its election. Contributions to the plan were approximately $0.6 million and $0.4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an orderly transaction between market participants at the measurement date. Fair value measurements consider market data, as well as assumptions that market participants would use in pricing an asset or liability, when such data is available. Inputs used to measure fair value may be readily observable, corroborated by market data, or generally unobservable. GAAP (1) establishes a three-level fair value hierarchy which defines and prioritizes the inputs that shall be used when measuring fair value and (2) requires that valuation techniques maximize the use of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48285"/>
                <wp:effectExtent l="0" t="0" r="0" b="0"/>
                <wp:wrapNone/>
                <wp:docPr id="247" name="Frame2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observable inputs and minimize use of unobservable inputs. Inputs used to measure fair value are defined in the three-level fair value hierarchy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1 – Observable inputs that are based on unadjusted quoted prices in active markets for identical assets and liabilities.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2 - Observable inputs other than Level 1 quoted prices, such as quoted market prices for similar assets and liabilities in active markets, quoted prices for identical or similar assets and liabilities in markets that are not active, and other inputs that are observable or can be corroborated by observable market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3 - Unobservable inputs that are supported by little or no market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at fair value are classified in their entirety based upon the lowest level of input that is significant to the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accounts receivable, accounts payable, related party payables, and accrued expenses and other current liabilities are carried at cost, which approximated fair value for these financial instruments as of December 31, 2025 and 2024, due to their short-term nature.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third-party, long-term debt as of December 31, 2025 and 2024 is classified as Level 2 in the fair value hierarchy and is carried at cost. The carrying value of our long-term debt as of December 31, 2025 has been deemed to approximate fair value due to the debt’s variable interest rate that adjusts with market fluctuations in the benchmark rate upon which the interest rate is determined.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contingent consideration related to the January 29, 2025 acquisition of Aura (refer to Note 3 – Acquisitions) at fair value on a recurring basis. Measurement of the fair value of this liability is characterized as Level 3 in the fair value hierarchy due to the use of a discounted cash flow model that incorporates unobservable inputs, consisting primarily of future non-GAAP revenue projections and discount rates applied to adjust for forecast risk and time value of money. Changes in future non-GAAP revenue projections and/or the applied discount rates over the term of this arrangement could result in material changes to the estimated fair value of this liability. Furthermore, this liability may ultimately be settled for an amount that differs from its carrying amount. The fair value of the contingent consideration liability is included in Other long-term liabilities in the Company's consolidated balance sheets as of December 31, 2025. The Company recognizes changes in the fair value of the contingent consideration liability in Selling, general and administrative expenses in the Company's consolidated statements of operations.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the contingent consideration liability during the year ended December 31, 2025:</w:t>
      </w:r>
    </w:p>
    <w:tbl>
      <w:tblPr>
        <w:tblW w:w="5702" w:type="dxa"/>
        <w:jc w:val="left"/>
        <w:tblInd w:w="0" w:type="dxa"/>
        <w:tblLayout w:type="fixed"/>
        <w:tblCellMar>
          <w:top w:w="28" w:type="dxa"/>
          <w:left w:w="28" w:type="dxa"/>
          <w:bottom w:w="28" w:type="dxa"/>
          <w:right w:w="28" w:type="dxa"/>
        </w:tblCellMar>
      </w:tblPr>
      <w:tblGrid>
        <w:gridCol w:w="1553"/>
        <w:gridCol w:w="1366"/>
        <w:gridCol w:w="1370"/>
        <w:gridCol w:w="109"/>
        <w:gridCol w:w="109"/>
        <w:gridCol w:w="109"/>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29, 2025 (initial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200" w:after="1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certain interest rate swap derivatives with a notional amount of $200.0 million and a two-year term. These swaps are for the Company's 2025 Credit Agreement and are not designated. The interest rate swaps are valued using the secured overnight financing rate ("SOFR") yield curves at the reporting date and are classified in Level 2. Counterparties to these contracts are highly rated financial institutions. At December 31, 2025 the fair value of the undesignated interest rate swap agreements was immaterial.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48285"/>
                <wp:effectExtent l="0" t="0" r="0" b="0"/>
                <wp:wrapNone/>
                <wp:docPr id="248" name="Frame2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200" w:after="160"/>
        <w:jc w:val="both"/>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20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consolidated partnership income before income tax expense from continuing operations are as follows:</w:t>
      </w:r>
    </w:p>
    <w:tbl>
      <w:tblPr>
        <w:tblW w:w="7192" w:type="dxa"/>
        <w:jc w:val="left"/>
        <w:tblInd w:w="0" w:type="dxa"/>
        <w:tblLayout w:type="fixed"/>
        <w:tblCellMar>
          <w:top w:w="28" w:type="dxa"/>
          <w:left w:w="28" w:type="dxa"/>
          <w:bottom w:w="28" w:type="dxa"/>
          <w:right w:w="28" w:type="dxa"/>
        </w:tblCellMar>
      </w:tblPr>
      <w:tblGrid>
        <w:gridCol w:w="1232"/>
        <w:gridCol w:w="1085"/>
        <w:gridCol w:w="1087"/>
        <w:gridCol w:w="109"/>
        <w:gridCol w:w="109"/>
        <w:gridCol w:w="109"/>
        <w:gridCol w:w="313"/>
        <w:gridCol w:w="1070"/>
        <w:gridCol w:w="161"/>
        <w:gridCol w:w="109"/>
        <w:gridCol w:w="109"/>
        <w:gridCol w:w="109"/>
        <w:gridCol w:w="342"/>
        <w:gridCol w:w="999"/>
        <w:gridCol w:w="249"/>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statements include predecessor and successor periods that reflect different legal and tax structures. During the predecessor periods, the Company’s operations were conducted through entities that were subject to U.S. federal and state income taxes (primarily blocker corporations). During the successor periods, the Company operates as a partnership for U.S. federal income tax purposes and is generally not subject to income taxes at the entity level.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federal and state income tax expense are summarized as follows:</w:t>
      </w:r>
    </w:p>
    <w:tbl>
      <w:tblPr>
        <w:tblW w:w="6488"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413"/>
        <w:gridCol w:w="915"/>
        <w:gridCol w:w="216"/>
        <w:gridCol w:w="109"/>
        <w:gridCol w:w="109"/>
        <w:gridCol w:w="109"/>
        <w:gridCol w:w="402"/>
        <w:gridCol w:w="891"/>
        <w:gridCol w:w="297"/>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statutory rate primarily due to partnership earnings that are not subject to U.S. federal and most state income taxes at the partnership level.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income tax expense at the U.S. federal statutory rate to total income tax expense is as follows:</w:t>
      </w:r>
    </w:p>
    <w:tbl>
      <w:tblPr>
        <w:tblW w:w="9434" w:type="dxa"/>
        <w:jc w:val="left"/>
        <w:tblInd w:w="0" w:type="dxa"/>
        <w:tblLayout w:type="fixed"/>
        <w:tblCellMar>
          <w:top w:w="28" w:type="dxa"/>
          <w:left w:w="28" w:type="dxa"/>
          <w:bottom w:w="28" w:type="dxa"/>
          <w:right w:w="28" w:type="dxa"/>
        </w:tblCellMar>
      </w:tblPr>
      <w:tblGrid>
        <w:gridCol w:w="1434"/>
        <w:gridCol w:w="1261"/>
        <w:gridCol w:w="1265"/>
        <w:gridCol w:w="109"/>
        <w:gridCol w:w="109"/>
        <w:gridCol w:w="109"/>
        <w:gridCol w:w="211"/>
        <w:gridCol w:w="616"/>
        <w:gridCol w:w="109"/>
        <w:gridCol w:w="109"/>
        <w:gridCol w:w="109"/>
        <w:gridCol w:w="109"/>
        <w:gridCol w:w="344"/>
        <w:gridCol w:w="346"/>
        <w:gridCol w:w="271"/>
        <w:gridCol w:w="109"/>
        <w:gridCol w:w="109"/>
        <w:gridCol w:w="109"/>
        <w:gridCol w:w="109"/>
        <w:gridCol w:w="109"/>
        <w:gridCol w:w="109"/>
        <w:gridCol w:w="211"/>
        <w:gridCol w:w="616"/>
        <w:gridCol w:w="109"/>
        <w:gridCol w:w="109"/>
        <w:gridCol w:w="109"/>
        <w:gridCol w:w="109"/>
        <w:gridCol w:w="344"/>
        <w:gridCol w:w="346"/>
        <w:gridCol w:w="316"/>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at U.S.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taxes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earnings not subject to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48285"/>
                <wp:effectExtent l="0" t="0" r="0" b="0"/>
                <wp:wrapNone/>
                <wp:docPr id="249" name="Frame2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result from the temporary differences between financial reporting carrying amounts and the tax basis of existing assets and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deferred income tax assets and liabilities are as follows:</w:t>
      </w:r>
    </w:p>
    <w:tbl>
      <w:tblPr>
        <w:tblW w:w="7626" w:type="dxa"/>
        <w:jc w:val="left"/>
        <w:tblInd w:w="0" w:type="dxa"/>
        <w:tblLayout w:type="fixed"/>
        <w:tblCellMar>
          <w:top w:w="28" w:type="dxa"/>
          <w:left w:w="28" w:type="dxa"/>
          <w:bottom w:w="28" w:type="dxa"/>
          <w:right w:w="28" w:type="dxa"/>
        </w:tblCellMar>
      </w:tblPr>
      <w:tblGrid>
        <w:gridCol w:w="1272"/>
        <w:gridCol w:w="1118"/>
        <w:gridCol w:w="1120"/>
        <w:gridCol w:w="109"/>
        <w:gridCol w:w="109"/>
        <w:gridCol w:w="109"/>
        <w:gridCol w:w="449"/>
        <w:gridCol w:w="864"/>
        <w:gridCol w:w="232"/>
        <w:gridCol w:w="109"/>
        <w:gridCol w:w="109"/>
        <w:gridCol w:w="109"/>
        <w:gridCol w:w="109"/>
        <w:gridCol w:w="109"/>
        <w:gridCol w:w="109"/>
        <w:gridCol w:w="317"/>
        <w:gridCol w:w="1041"/>
        <w:gridCol w:w="232"/>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assets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does not have unrecognized tax benefits. If the Company had unrecognized tax benefits, it would recognize interest and penalties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Chief Executive Officer as its chief operating decision maker (“CODM”), as that term has been defined under U.S GAAP. The Company’s Chief Executive Officer reviews financial information presented on a consolidated basis for purposes of assessing financial performance and allocating resources and, accordingly, the Company’s operations are comprised of a single operating segment and single reportable segment. The following table summarizes significant expenses reviewed by the CODM on a regular basis for purposes of assessing the Company’s financial performance and allocating resources.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48285"/>
                <wp:effectExtent l="0" t="0" r="0" b="0"/>
                <wp:wrapNone/>
                <wp:docPr id="250" name="Frame2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7744" w:type="dxa"/>
        <w:jc w:val="left"/>
        <w:tblInd w:w="0" w:type="dxa"/>
        <w:tblLayout w:type="fixed"/>
        <w:tblCellMar>
          <w:top w:w="28" w:type="dxa"/>
          <w:left w:w="28" w:type="dxa"/>
          <w:bottom w:w="28" w:type="dxa"/>
          <w:right w:w="28" w:type="dxa"/>
        </w:tblCellMar>
      </w:tblPr>
      <w:tblGrid>
        <w:gridCol w:w="1313"/>
        <w:gridCol w:w="1156"/>
        <w:gridCol w:w="1160"/>
        <w:gridCol w:w="109"/>
        <w:gridCol w:w="109"/>
        <w:gridCol w:w="109"/>
        <w:gridCol w:w="284"/>
        <w:gridCol w:w="1114"/>
        <w:gridCol w:w="147"/>
        <w:gridCol w:w="109"/>
        <w:gridCol w:w="109"/>
        <w:gridCol w:w="109"/>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selling, 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selling, general, and administrative expenses primarily consist of facilities expenses that do not relate to our manufacturing operations, sales and marketing expenses, and other general administrative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all of the Company’s revenue is generated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48285"/>
                <wp:effectExtent l="0" t="0" r="0" b="0"/>
                <wp:wrapNone/>
                <wp:docPr id="251" name="Frame2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17 –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Non-cancelable Purchase Commitments</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non-cancelable purchase commitments with various parties to purchase primarily software, payroll, and cloud related-based services. As of December 31, 2025, the Company had outstanding non-cancelable purchase commitments in the amount of $1.3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and Other</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may be subject to various claims and legal proceedings that arise in the ordinary course of its business activities. Management believes that any liability that may ultimately result from the resolution of these matters will not have a material effect on the financial condition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 – 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SteelPro on October 6, 2025, the Company entered into an arrangement with Fox Red, to lease the manufacturing facilities used by SteelPro in Houston, MS. Fox Red is a related party because it is owned by an individual in executive management of the Company. The Company concluded that it held an implicit variable interest in the entity through the lease agreement and an implicit commitment to provide funding to expand the manufacturing premises. As a result, the Company concluded that it met the requirements for consolidation pursuant to the VIE sub-sections of ASC 810. The Company consolidated the VIE because it is the primary beneficiary, having the power to direct the activities that most significantly affect the VIE’s economic performance. Additionally, the Company has the obligation to absorb losses that could be significant to the VIE through implied obligations resulting from the lease arrangement and the nature of the related party relationship. The VIE’s principal assets, the land and building, can only be used to settle the obligations of the VIE.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lease term is 5-years with two automatic renewals of additional 5 year terms. The lease does not contain a residual value guarantee and the Company is not obligated to provide any financial support to the VIE other than the lease payments. The lease payments are scheduled to increase by 3% upon each additional lease renewal. The Company does not have an equity interest in the VIE. As a result, the non-controlling interest reported in the Company’s Consolidated Balance Sheets represents the net assets of the VIE, and the net income of the VIE is reported in the Company’s consolidated statements of operations as being attributable to the non-controlling interest.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to the VIE were approximately $0.2 million during the year ended December 31, 2025. Total costs related to the lease, which were eliminated in consolidation, were $0.2 million during the year ended December 31, 2025. The Company did not make any payments to the VIE that were not a result of the lease arrangement. The VIE made distributions totaling $0.1 million to its member during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as of the acquisition date and December 31, 2025 include the following assets of the VIE. The VIE did not have any outstanding obligations as of December 31, 2025:</w:t>
      </w:r>
    </w:p>
    <w:tbl>
      <w:tblPr>
        <w:tblW w:w="10205" w:type="dxa"/>
        <w:jc w:val="left"/>
        <w:tblInd w:w="0" w:type="dxa"/>
        <w:tblLayout w:type="fixed"/>
        <w:tblCellMar>
          <w:top w:w="28" w:type="dxa"/>
          <w:left w:w="28" w:type="dxa"/>
          <w:bottom w:w="28" w:type="dxa"/>
          <w:right w:w="28" w:type="dxa"/>
        </w:tblCellMar>
      </w:tblPr>
      <w:tblGrid>
        <w:gridCol w:w="2436"/>
        <w:gridCol w:w="2141"/>
        <w:gridCol w:w="2156"/>
        <w:gridCol w:w="109"/>
        <w:gridCol w:w="109"/>
        <w:gridCol w:w="109"/>
        <w:gridCol w:w="289"/>
        <w:gridCol w:w="844"/>
        <w:gridCol w:w="149"/>
        <w:gridCol w:w="109"/>
        <w:gridCol w:w="109"/>
        <w:gridCol w:w="109"/>
        <w:gridCol w:w="329"/>
        <w:gridCol w:w="963"/>
        <w:gridCol w:w="244"/>
      </w:tblGrid>
      <w:tr>
        <w:trPr/>
        <w:tc>
          <w:tcPr>
            <w:tcW w:w="243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7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 net (net of accumulated depreciation of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the building and building improvements was less than $0.1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48285"/>
                <wp:effectExtent l="0" t="0" r="0" b="0"/>
                <wp:wrapNone/>
                <wp:docPr id="252" name="Frame2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19 – Related-Party Transactions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management services agreement with the Company’s majority owner, whereby the majority member provides general management services, assistance with financing of acquisitions, strategic planning, and other agreed-upon services. As part of the agreement, the Company pays an annual management fee of $1.0 million. Additionally, the majority member receives reimbursement of expenses. The Company incurred approximately $1.0 million of management fees and expenses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accrued $7.9 million of tax distributions to be paid to the Company’s members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operated under a management services agreement with the Company’s former majority owner, whereby the majority owner provided general management services, assistance with financing of acquisitions, strategic planning, and other agreed-upon services. As part of the agreement, the Company paid an annual management fee of $0.5 million. Additionally, the majority owner received reimbursement of expenses. The Company incurred approximately $0.5 million of management fees and expenses for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accrued $2.4 million of distributions to be paid to the Company’s former majority owner as of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year-ended December 31, 2024 the Company had four notes receivable with employees due on various dates between July 2026 and October 2029. Amounts were fully repaid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20 – Subsequent Events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June 30, 2026, which is the date the consolidated financial statements were available to be issued.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the Company executed an amendment to the Credit Agreement (“Amendment No. 3”). Amendment No. 3 provided incremental term loans of an aggregate principal amount of $40.0 million and matures on January 2, 2031. The Company paid a 1% upfront fee on the aggregate proceeds received. The proceeds from this amendment were used to repay revolving credit loans outstanding as of February 13,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2026, Fox Red, a consolidated VIE of the Company, executed a 10.3 years loan agreement for a $7.1 million construction loan for the construction of a 115,900 square foot expansion of its industrial manufacturing warehouse and storage facility currently leased to the Company as tenant. As a condition of the loan, the lease must be maintained by the Company and Fox Red without material modification. Prior to the construction loan, the Company and Fox Red entered into a Cash Advance and Reimbursement Agreement whereby the Company advanced amounts to Fox Red to assist with funding loan payments and project costs prior to obtaining final funding. Once the loan agreement closed, Fox Red reimbursed the cash advance to the Company. As a result of the construction loan, the monthly payments to the VIE increased to approximately $0.2 million per month.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24, 2026, the Company completed the sale of WMS, which had been classified as held-for-sale as of December 31, 2025 (see Note 4 – Assets Held for Sale), for $2.7 million. During the three months ended March 31, 2026, the Company recognized a loss of $2.1 million for the impairment of the long-lived assets of WMS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lease agreement with NP First Flight Building 3, LLC for a build-to-suit facility comprising approximately 286,480 rentable square feet located in Miami Township, Ohio. The lease will commence upon the Company’s possession of the building following substantial completion of the landlord’s improvements, which is expected to occur in 2027. The initial lease term is 124 months. The lease includes an option for the Company to extend the term for one additional five-year period, subject to market terms. Total undiscounted minimum lease payments under the initial term are approximately $25.5 million.</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48285"/>
                <wp:effectExtent l="0" t="0" r="0" b="0"/>
                <wp:wrapNone/>
                <wp:docPr id="253" name="Frame2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the Company executed an amendment to the Credit Agreement ("Amendment No. 4"). Amendment No. 4 provided incremental term loans of an aggregate principal amount of $346.0 million and an additional $10.0 million in DDTL commitments. The proceeds from this amendment were primarily used to fund a distribution to certain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48285"/>
                <wp:effectExtent l="0" t="0" r="0" b="0"/>
                <wp:wrapNone/>
                <wp:docPr id="254" name="Frame2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92"/>
        <w:gridCol w:w="2171"/>
        <w:gridCol w:w="2173"/>
        <w:gridCol w:w="109"/>
        <w:gridCol w:w="109"/>
        <w:gridCol w:w="109"/>
        <w:gridCol w:w="211"/>
        <w:gridCol w:w="826"/>
        <w:gridCol w:w="109"/>
        <w:gridCol w:w="109"/>
        <w:gridCol w:w="109"/>
        <w:gridCol w:w="109"/>
        <w:gridCol w:w="277"/>
        <w:gridCol w:w="1087"/>
        <w:gridCol w:w="205"/>
      </w:tblGrid>
      <w:tr>
        <w:trPr/>
        <w:tc>
          <w:tcPr>
            <w:tcW w:w="2492"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$0.7 million and $0.3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29285"/>
                <wp:effectExtent l="0" t="0" r="0" b="0"/>
                <wp:wrapNone/>
                <wp:docPr id="255" name="Frame245"/>
                <a:graphic xmlns:a="http://schemas.openxmlformats.org/drawingml/2006/main">
                  <a:graphicData uri="http://schemas.microsoft.com/office/word/2010/wordprocessingShape">
                    <wps:wsp>
                      <wps:cNvSpPr txBox="1"/>
                      <wps:spPr>
                        <a:xfrm>
                          <a:off x="0" y="0"/>
                          <a:ext cx="6480175" cy="629285"/>
                        </a:xfrm>
                        <a:prstGeom prst="rect"/>
                        <a:solidFill>
                          <a:srgbClr val="FFFFFF"/>
                        </a:solidFill>
                      </wps:spPr>
                      <wps:txbx>
                        <w:txbxContent>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00" w:after="24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00" w:after="24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p>
      <w:pPr>
        <w:pStyle w:val="TextBody"/>
        <w:bidi w:val="0"/>
        <w:spacing w:lineRule="auto" w:line="288" w:before="4" w:after="240"/>
        <w:jc w:val="left"/>
        <w:rPr>
          <w:rFonts w:ascii="Times New Roman;serif" w:hAnsi="Times New Roman;serif"/>
          <w:b w:val="false"/>
          <w:color w:val="000000"/>
          <w:sz w:val="2"/>
        </w:rPr>
      </w:pPr>
      <w:r>
        <w:rPr>
          <w:rFonts w:ascii="Times New Roman;serif" w:hAnsi="Times New Roman;serif"/>
          <w:b w:val="false"/>
          <w:color w:val="000000"/>
          <w:sz w:val="2"/>
        </w:rPr>
        <w:t>2</w:t>
      </w:r>
    </w:p>
    <w:tbl>
      <w:tblPr>
        <w:tblW w:w="7927" w:type="dxa"/>
        <w:jc w:val="left"/>
        <w:tblInd w:w="0" w:type="dxa"/>
        <w:tblLayout w:type="fixed"/>
        <w:tblCellMar>
          <w:top w:w="28" w:type="dxa"/>
          <w:left w:w="28" w:type="dxa"/>
          <w:bottom w:w="28" w:type="dxa"/>
          <w:right w:w="28" w:type="dxa"/>
        </w:tblCellMar>
      </w:tblPr>
      <w:tblGrid>
        <w:gridCol w:w="1684"/>
        <w:gridCol w:w="1482"/>
        <w:gridCol w:w="1484"/>
        <w:gridCol w:w="109"/>
        <w:gridCol w:w="109"/>
        <w:gridCol w:w="109"/>
        <w:gridCol w:w="237"/>
        <w:gridCol w:w="930"/>
        <w:gridCol w:w="122"/>
        <w:gridCol w:w="109"/>
        <w:gridCol w:w="109"/>
        <w:gridCol w:w="109"/>
        <w:gridCol w:w="259"/>
        <w:gridCol w:w="886"/>
        <w:gridCol w:w="189"/>
      </w:tblGrid>
      <w:tr>
        <w:trPr/>
        <w:tc>
          <w:tcPr>
            <w:tcW w:w="168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05485"/>
                <wp:effectExtent l="0" t="0" r="0" b="0"/>
                <wp:wrapNone/>
                <wp:docPr id="256" name="Frame246"/>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10205" w:type="dxa"/>
        <w:jc w:val="left"/>
        <w:tblInd w:w="0" w:type="dxa"/>
        <w:tblLayout w:type="fixed"/>
        <w:tblCellMar>
          <w:top w:w="28" w:type="dxa"/>
          <w:left w:w="28" w:type="dxa"/>
          <w:bottom w:w="28" w:type="dxa"/>
          <w:right w:w="28" w:type="dxa"/>
        </w:tblCellMar>
      </w:tblPr>
      <w:tblGrid>
        <w:gridCol w:w="1214"/>
        <w:gridCol w:w="974"/>
        <w:gridCol w:w="971"/>
        <w:gridCol w:w="109"/>
        <w:gridCol w:w="109"/>
        <w:gridCol w:w="109"/>
        <w:gridCol w:w="264"/>
        <w:gridCol w:w="1036"/>
        <w:gridCol w:w="136"/>
        <w:gridCol w:w="109"/>
        <w:gridCol w:w="109"/>
        <w:gridCol w:w="109"/>
        <w:gridCol w:w="299"/>
        <w:gridCol w:w="1047"/>
        <w:gridCol w:w="156"/>
        <w:gridCol w:w="109"/>
        <w:gridCol w:w="109"/>
        <w:gridCol w:w="109"/>
        <w:gridCol w:w="465"/>
        <w:gridCol w:w="896"/>
        <w:gridCol w:w="241"/>
        <w:gridCol w:w="109"/>
        <w:gridCol w:w="109"/>
        <w:gridCol w:w="109"/>
        <w:gridCol w:w="211"/>
        <w:gridCol w:w="826"/>
        <w:gridCol w:w="161"/>
      </w:tblGrid>
      <w:tr>
        <w:trPr/>
        <w:tc>
          <w:tcPr>
            <w:tcW w:w="1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 January</w:t>
            </w:r>
            <w:r>
              <w:rPr>
                <w:color w:val="000000"/>
              </w:rPr>
              <w:t xml:space="preserve"> </w:t>
            </w: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members'</w:t>
            </w:r>
            <w:r>
              <w:rPr>
                <w:color w:val="000000"/>
              </w:rPr>
              <w:t xml:space="preserve"> </w:t>
            </w:r>
            <w:r>
              <w:rPr>
                <w:rFonts w:ascii="Times New Roman;serif" w:hAnsi="Times New Roman;serif"/>
                <w:b w:val="false"/>
                <w:color w:val="000000"/>
                <w:sz w:val="20"/>
              </w:rPr>
              <w:t>equity upon 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members' equity in connection with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Distributions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5"/>
        <w:gridCol w:w="922"/>
        <w:gridCol w:w="924"/>
        <w:gridCol w:w="109"/>
        <w:gridCol w:w="109"/>
        <w:gridCol w:w="109"/>
        <w:gridCol w:w="294"/>
        <w:gridCol w:w="1154"/>
        <w:gridCol w:w="152"/>
        <w:gridCol w:w="109"/>
        <w:gridCol w:w="109"/>
        <w:gridCol w:w="109"/>
        <w:gridCol w:w="295"/>
        <w:gridCol w:w="1010"/>
        <w:gridCol w:w="152"/>
        <w:gridCol w:w="109"/>
        <w:gridCol w:w="109"/>
        <w:gridCol w:w="109"/>
        <w:gridCol w:w="404"/>
        <w:gridCol w:w="1181"/>
        <w:gridCol w:w="210"/>
        <w:gridCol w:w="109"/>
        <w:gridCol w:w="109"/>
        <w:gridCol w:w="109"/>
        <w:gridCol w:w="413"/>
        <w:gridCol w:w="413"/>
        <w:gridCol w:w="238"/>
      </w:tblGrid>
      <w:tr>
        <w:trPr/>
        <w:tc>
          <w:tcPr>
            <w:tcW w:w="11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 January 1, 2026</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Redemption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Distributions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w:t>
            </w:r>
            <w:r>
              <w:rPr>
                <w:color w:val="000000"/>
              </w:rPr>
              <w:t xml:space="preserve"> </w:t>
            </w:r>
            <w:r>
              <w:rPr>
                <w:rFonts w:ascii="Times New Roman;serif" w:hAnsi="Times New Roman;serif"/>
                <w:b/>
                <w:color w:val="000000"/>
                <w:sz w:val="20"/>
              </w:rPr>
              <w:t>-March</w:t>
            </w:r>
            <w:r>
              <w:rPr>
                <w:color w:val="000000"/>
              </w:rPr>
              <w:t xml:space="preserve"> </w:t>
            </w:r>
            <w:r>
              <w:rPr>
                <w:rFonts w:ascii="Times New Roman;serif" w:hAnsi="Times New Roman;serif"/>
                <w:b/>
                <w:color w:val="000000"/>
                <w:sz w:val="20"/>
              </w:rPr>
              <w:t>31,</w:t>
            </w:r>
            <w:r>
              <w:rPr>
                <w:color w:val="000000"/>
              </w:rPr>
              <w:t xml:space="preserve"> </w:t>
            </w:r>
            <w:r>
              <w:rPr>
                <w:rFonts w:ascii="Times New Roman;serif" w:hAnsi="Times New Roman;serif"/>
                <w:b/>
                <w:color w:val="000000"/>
                <w:sz w:val="20"/>
              </w:rPr>
              <w:t>2026</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05485"/>
                <wp:effectExtent l="0" t="0" r="0" b="0"/>
                <wp:wrapNone/>
                <wp:docPr id="257" name="Frame247"/>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10205" w:type="dxa"/>
        <w:jc w:val="left"/>
        <w:tblInd w:w="0" w:type="dxa"/>
        <w:tblLayout w:type="fixed"/>
        <w:tblCellMar>
          <w:top w:w="28" w:type="dxa"/>
          <w:left w:w="28" w:type="dxa"/>
          <w:bottom w:w="28" w:type="dxa"/>
          <w:right w:w="28" w:type="dxa"/>
        </w:tblCellMar>
      </w:tblPr>
      <w:tblGrid>
        <w:gridCol w:w="2502"/>
        <w:gridCol w:w="2135"/>
        <w:gridCol w:w="2132"/>
        <w:gridCol w:w="109"/>
        <w:gridCol w:w="109"/>
        <w:gridCol w:w="109"/>
        <w:gridCol w:w="277"/>
        <w:gridCol w:w="948"/>
        <w:gridCol w:w="142"/>
        <w:gridCol w:w="109"/>
        <w:gridCol w:w="109"/>
        <w:gridCol w:w="109"/>
        <w:gridCol w:w="274"/>
        <w:gridCol w:w="938"/>
        <w:gridCol w:w="203"/>
      </w:tblGrid>
      <w:tr>
        <w:trPr/>
        <w:tc>
          <w:tcPr>
            <w:tcW w:w="2502"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debt</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w:t>
            </w:r>
            <w:r>
              <w:rPr>
                <w:color w:val="000000"/>
              </w:rPr>
              <w:t xml:space="preserve"> </w:t>
            </w:r>
            <w:r>
              <w:rPr>
                <w:rFonts w:ascii="Times New Roman;serif" w:hAnsi="Times New Roman;serif"/>
                <w:b w:val="false"/>
                <w:color w:val="000000"/>
                <w:sz w:val="20"/>
              </w:rPr>
              <w:t>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w:t>
            </w:r>
            <w:r>
              <w:rPr>
                <w:color w:val="000000"/>
              </w:rPr>
              <w:t xml:space="preserve">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w:t>
            </w:r>
            <w:r>
              <w:rPr>
                <w:color w:val="000000"/>
              </w:rPr>
              <w:t xml:space="preserve"> </w:t>
            </w:r>
            <w:r>
              <w:rPr>
                <w:rFonts w:ascii="Times New Roman;serif" w:hAnsi="Times New Roman;serif"/>
                <w:b w:val="false"/>
                <w:color w:val="000000"/>
                <w:sz w:val="20"/>
              </w:rPr>
              <w: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assets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accounts,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payable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w:t>
            </w:r>
            <w:r>
              <w:rPr>
                <w:color w:val="000000"/>
              </w:rPr>
              <w:t xml:space="preserve"> </w:t>
            </w: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assets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property</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purchases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businesses,</w:t>
            </w:r>
            <w:r>
              <w:rPr>
                <w:color w:val="000000"/>
              </w:rPr>
              <w:t xml:space="preserve"> </w:t>
            </w:r>
            <w:r>
              <w:rPr>
                <w:rFonts w:ascii="Times New Roman;serif" w:hAnsi="Times New Roman;serif"/>
                <w:b w:val="false"/>
                <w:color w:val="000000"/>
                <w:sz w:val="20"/>
              </w:rPr>
              <w:t>net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cash</w:t>
            </w:r>
            <w:r>
              <w:rPr>
                <w:color w:val="000000"/>
              </w:rPr>
              <w:t xml:space="preserve"> </w:t>
            </w:r>
            <w:r>
              <w:rPr>
                <w:rFonts w:ascii="Times New Roman;serif" w:hAnsi="Times New Roman;serif"/>
                <w:b w:val="false"/>
                <w:color w:val="000000"/>
                <w:sz w:val="20"/>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(396,004)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05485"/>
                <wp:effectExtent l="0" t="0" r="0" b="0"/>
                <wp:wrapNone/>
                <wp:docPr id="258" name="Frame248"/>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9146" w:type="dxa"/>
        <w:jc w:val="left"/>
        <w:tblInd w:w="0" w:type="dxa"/>
        <w:tblLayout w:type="fixed"/>
        <w:tblCellMar>
          <w:top w:w="28" w:type="dxa"/>
          <w:left w:w="28" w:type="dxa"/>
          <w:bottom w:w="28" w:type="dxa"/>
          <w:right w:w="28" w:type="dxa"/>
        </w:tblCellMar>
      </w:tblPr>
      <w:tblGrid>
        <w:gridCol w:w="2244"/>
        <w:gridCol w:w="1970"/>
        <w:gridCol w:w="1981"/>
        <w:gridCol w:w="291"/>
        <w:gridCol w:w="849"/>
        <w:gridCol w:w="150"/>
        <w:gridCol w:w="109"/>
        <w:gridCol w:w="109"/>
        <w:gridCol w:w="109"/>
        <w:gridCol w:w="287"/>
        <w:gridCol w:w="838"/>
        <w:gridCol w:w="209"/>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 included in accounts payable as of period-end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accounts payable as of period-end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related party payable as of period-end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distributions to members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issued in change in control transaction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Aura rollover equity issued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05485"/>
                <wp:effectExtent l="0" t="0" r="0" b="0"/>
                <wp:wrapNone/>
                <wp:docPr id="259" name="Frame249"/>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LLC and its subsidiaries (“Accelevation”, the “Company”, “we”, “our”, or “us”) is a vertically integrated provider of data center infrastructure solutions. The Company’s solutions include the design, manufacture, and installation of infrastructure products and services that power and protect data centers' digital economy. Our comprehensive solution offerings include containment systems, power distribution solutions, cable conveyance, caging and security, and structural systems, complemented by a full suite of installation services, including licensed electrical fit-out, low-voltage installation, and infrastructure installation.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the rules and regulations of the Securities and Exchange Commission (“SEC”) applicable to interim periods. Accordingly, they do not include all of the information and notes to the financial statements required by GAAP for complete financial statements.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the accounts of the Company, including a variable interest entity (“VIE”) for which the Company is the primary beneficiary. All significant intercompany accounts and transactions have been eliminated in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along with the financial data and other information included in the notes to the financial statements, are unaudited. These condensed consolidated financial statements have been prepared on the same basis as the Company’s audited consolidated financial statements and the notes thereto as of and for the years ended December 31, 2025 and 2024 included in the prospectus dated June 30, 2026, as filed with the SEC pursuant to Rule 424(b)(4) under the Securities Act of 1933, as amended (the “Prospectus”) and, in the opinion of management, reflect all adjustments, which include only normal recurring adjustments, necessary for the fair statement of the Company’s financial position, results of operations and cash flows for the periods presented. The operating results for the interim periods presented are not necessarily indicative of the results expected for the full year. The condensed consolidated balance sheet as of December 31, 2025 was derived from the Company’s audited annual consolidated financial statements but does not contain all of the accompanying disclosures from the annual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Uses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(1) the reported amounts of assets and liabilities and the disclosure of contingent assets and liabilities as of the date of the financial statements and (2) the reported amounts of revenues and expenses during the reporting periods. Examples of significant estimates that affect the amounts reported in our condensed consolidated financial statements include, but are not limited to estimates applied to recognize revenue over time for certain customer contracts, the estimated fair value of and the amount of expense recognized for equity-based compensation awards, the allowance for credit losses, the net realizable value of inventory, the discount rate applied to our leases, the depreciable lives of our long-lived assets, the amortizable lives of our intangible assets, forecasts used to assess the carrying values of our long-lived assets and goodwill for impairment, and our accrued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base our estimates and assumptions on historical experience, currently available information and other facts and circumstances that we believe are reasonable. Actual results could differ from our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48285"/>
                <wp:effectExtent l="0" t="0" r="0" b="0"/>
                <wp:wrapNone/>
                <wp:docPr id="260" name="Frame2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offering costs consist of direct and incremental expenses and fees related to the Company’s planned initial public offering (“IPO”). These direct and incremental expenses and fees will be capitalized as incurred through the date of the Company’s IPO and will be offset against IPO proceeds upon consummation of the Company’s IPO. There were $0.5 million of deferred offering costs included in other long-term assets on the condensed consolidated balance sheets as of March 31, 2026. As of March 31, 2026, of the costs included in the condensed consolidated balance sheets, no amounts have been paid. There were no deferred offering costs capitalized in other long-term assets in the consolidated balance sheet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cash deposited at certain financial institutions which, at times, may exceed the federally insured limits provided by the Federal Deposit Insurance Corporation (“FDIC”). At March 31, 2026, the Company’s cash held in deposit accounts in amounts that exceeded the FDIC’s insurance limits totaled $65.0 million. The Company has not experienced any losses on such amounts and believes it is not subject to significant credit risk related to cash balances.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had certain customers whose revenue individually represented 10% or more of our total revenue, or whose accounts receivable balances individually represented 10% or more of our total accounts receivable, which are presented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each major customer as a percentage of total revenue as of the three months ended March 31, 2026 and 2025:</w:t>
      </w:r>
    </w:p>
    <w:tbl>
      <w:tblPr>
        <w:tblW w:w="5273"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87"/>
        <w:gridCol w:w="287"/>
        <w:gridCol w:w="716"/>
        <w:gridCol w:w="109"/>
        <w:gridCol w:w="109"/>
        <w:gridCol w:w="109"/>
        <w:gridCol w:w="270"/>
        <w:gridCol w:w="270"/>
        <w:gridCol w:w="79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from each major customer as a percentage of total accounts receivable as of March 31, 2026 and December 31, 2025:</w:t>
      </w:r>
    </w:p>
    <w:tbl>
      <w:tblPr>
        <w:tblW w:w="5241"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55"/>
        <w:gridCol w:w="256"/>
        <w:gridCol w:w="491"/>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suppliers for the provision of many components and materials used in our infrastructure products. Some of the enclosure components, specifically various trims, seals, and gaskets, are highly customized for our Company and purchased by us from single sources. During the three months ended March 31, 2026 and 2025, key single-sourced components did not represent a material portion of our raw material purchases; however, these components still represent critical components of certain of our product offerings. While we believe that we may be able to establish alternative supply relationships for our single-sourced components, the loss of one of these supply relationships could cause a material disruption to the delivery of our infrastructure products and therefore have a material effect on our business, financial condition and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605" cy="14605"/>
                <wp:effectExtent l="0" t="0" r="0" b="0"/>
                <wp:wrapNone/>
                <wp:docPr id="261" name="Frame25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was approximately $0.5 million and $0.1 million for the three months ended March 31, 2026 and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Company being a partnership, it is not directly subject to income taxes under the provisions of the Internal Revenue Code. Therefore, taxable income or loss is reported to the individual partners for inclusion in their respective tax returns, and no provision for federal income taxes has been included in the accompanying consolidated financial statements. Accelevation is however subject to various entity level US state taxes, and the tax provision for those state taxes are included in the condensed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(the “JOBS Act”). Accordingly, the Company is eligible to take advantage of certain exemptions from various reporting and financial disclosure requirements that are applicable to other public companies that are not emerging growth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JOBS Act, an emerging growth company can take advantage of the extended transition period provided to private companies for adopting and complying with new or revised accounting standards. The Company has elected to take advantage of the extended transition period and, accordingly, will delay the adoption of accounting standards for which early adoption is not both permitted and elected until those standards would apply to private companies.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“Improvements to Income Tax Disclosures” (“ASU 2023-09”), which expands public entities’ existing income tax disclosures related to annual periods to provide information to better assess how an entity’s operations, related tax risks, tax planning and operational opportunities affect its tax rate and prospects for future cash flows. ASU 2023-09 requires public entities to annually disclose specific categories in the rate reconciliation table of the income tax note, provide additional information for reconciling items that meet a quantitative threshold, and provide disaggregated information on income taxes paid by the Company. The provision of this ASU are effective for emerging growth companies following private company adoption dates for fiscal years beginning after December 15, 2025, and early adoption is permitted for annual financial statements that have not yet been issued or made available for issuance. Furthermore, the provisions of this ASU may be applied on a prospective or retrospective basis. As of March 31, 2026, the Company had not adopted ASU 2023-09. The Company is currently evaluating the expected impacts of adoption, which impacts will relate primarily to expanded footnote disclosures.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(“ASU 2024-03”). In January 2025, the FASB issued ASU No. 2025-01, “Income Statement—Reporting Comprehensive Income –Expense Disaggregation Disclosures (Subtopic 220-40)” to further clarify the effective date of ASU 2024-03. ASU 2024-03 amends ASC Topic 220, “Comprehensive Income,” to expand the disclosure of expense information in the notes to the financial statements. ASU 2024-03 requires public business entities to disaggregate specified income statement expenses, such as purchases of inventory, employee compensation, depreciation, amortization, and depletion into detailed categories presented in a tabular format. Additionally, ASU 2024-03 mandates (1) qualitative descriptions for expenses not separately disaggregated and (2) disclosure of the total amount of selling expenses including, in annual periods, disclosure of an entity's definition of selling expenses. As the guidance in ASU 2024-03 only applies to public business entities, there is no separate effective date for emerging growth companies following private company adoption dates. Accordingly, the Company will be required to adopt ASU 2024-03 based upon the effective dates for public business entities. Public business entities are required to adopt the guidance in ASU 2024-03 for annual reporting periods beginning after December 15, 2026, and interim reporting periods beginning after December 15, 2027. Early adoption of ASU 2024-04 is permitted, and the provision of this ASU may be applied prospectively or retrospectively upon adoption. The Company is currently evaluating the impact of adopting ASU 2024-03, which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48285"/>
                <wp:effectExtent l="0" t="0" r="0" b="0"/>
                <wp:wrapNone/>
                <wp:docPr id="262" name="Frame2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impact is expected to be the inclusion of expanded disclosures regarding the expenses reported on the Company’s income statement in the footnotes to the Company’s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 Accounting for Government Grants Received by Business Entities” (“ASU 2025-10”). ASU 2025-10 establishes authoritative guidance on how to recognize, measure, and present government grants received by business entities. For emerging growth companies following private company adoption dates, the guidance in ASU 2025-10 is required to be adopted for annual reporting periods beginning after December 15, 2029, and interim reporting periods within those annual reporting periods, with early adoption permitted for both interim and annual financial statements that have not yet been issued or made available for issuance. If an entity early adopts in an interim reporting period, it must adopt as of the beginning of the annual reporting period that includes that interim reporting period. The ASU may be applied using a modified prospective, modified retrospective or a full retrospective approach. As of December 31, 2025, the Company had not adopted ASU 2025-10. The Company is currently evaluating the expected impact of adopting ASU 2025-10.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other recently issued accounting pronouncements and does not believe the adoption of such pronouncements will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Acquisitions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the Company’s audited annual consolidated financial statements, the Change in Control Transaction was consummated on January 2, 2025, and has been accounted for using the acquisition method of accounting in accordance with ASC 805. Upon consummation of the transaction, consideration of $480.6 million, consisting of $403.1 million of cash, rollover equity with a fair value of $65.1 million, and non-cash consideration of $12.3 million was exchanged for all of Accelevation Holding Company, LLC’s (“Predecessor”) outstanding equity. The fair value of the equity rollover consideration was determined on a consistent basis with the price at which the same class of equity units were sold by Topco to raise a portion of the cash used to consummate the Change in Control Transaction. The non-cash consideration relates to deferred tax liabilities that are included in Buyer's basis and reflect additional goodwill pushed down to Accelevation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related to the Change in Control Transaction included amounts incurred by the acquiree, the sellers, and the buyer. As more fully described in the Company’s audited consolidated financial statements and the notes thereto as of and for the years ended December 31, 2025 and 2024 included elsewhere in this prospectus dated June 30, 2026, the Company accounted for transaction costs based upon the party to the transaction that incurred the costs and the nature and substance of the costs incurred.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Acquiree's Transaction Expenses</w:t>
      </w:r>
      <w:r>
        <w:rPr>
          <w:rFonts w:ascii="Times New Roman;serif" w:hAnsi="Times New Roman;serif"/>
          <w:b w:val="false"/>
          <w:color w:val="000000"/>
          <w:sz w:val="20"/>
        </w:rPr>
        <w:t>: Transaction expenses incurred by the acquiree were included in the Predecessor's financial statements for the year ended December 31, 2024, unless the transaction expenses represent amounts that were contingent upon the consummation of the transaction, in which case the transaction expenses have been accounted for as Black-Line Adjustments. Transaction expenses of the acquiree accounted for as Black-Line Adjustments totaled $22.8 million.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Buyer's Transaction Expenses</w:t>
      </w:r>
      <w:r>
        <w:rPr>
          <w:rFonts w:ascii="Times New Roman;serif" w:hAnsi="Times New Roman;serif"/>
          <w:b w:val="false"/>
          <w:color w:val="000000"/>
          <w:sz w:val="20"/>
        </w:rPr>
        <w:t>: Transaction expenses related to legal advisors and other third-party transaction advisors of the buyer, including a $4.6 million success fee that was contingent upon the closing of the transaction, have been accounted for as acquirer transaction costs. Buyer transaction costs incurred and settled in conjunction with or subsequent to the closing of transaction totaled $5.9 million, which amount was expensed as incurred and included in Selling, general and administrative expenses in the condensed consolidated statements of operations for the three-months ended March 31, 2025 in accordance with the required accounting treatment for acquirer transaction costs under ASC 805. The buyer also incurred $3.8 million of transaction expenses prior to the closing of the transaction that were settled in conjunction with or subsequent to the closing of the transactions. These costs were expensed as incurred and recognized in the income statement of the buyer prior to the business combination and have been reflected in the opening accumulated deficit balance as of January 2,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48285"/>
                <wp:effectExtent l="0" t="0" r="0" b="0"/>
                <wp:wrapNone/>
                <wp:docPr id="263" name="Frame2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Acquisition Transactions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SteelPro LLC and SteelPro Memphis,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the Company acquired 100% of the outstanding equity interests of SteelPro LLC and SteelPro Memphis, LLC (hereinafter, collectively “SteelPro”), a designer and fabricator of structural steel solutions for both commercial and industrial markets. The purpose of this acquisition was to vertically integrate SteelPro, a supplier prior to consummation of the acquisition, into the Company’s existing operations, as well as to expand the Company’s operating capacity.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SteelPro totaled $47.8 million, consisting of $35.4 million of cash and rollover equity with an estimated fair value of $12.4 million as of the acquisition date. The estimated fair value of the Company’s equity issued was determined based upon a third-party valuation of the Company’s equity at the acquisition date, as there is no active market for the Company’s equity. In addition, the Company incurred approximately $1.0 million of third-party, acquisition-related costs, which have been included in selling, general, and administrative expenses in the Company’s condensed consolidated statements of operations for the year ended December 31, 2025. We accounted for the acquisition of SteelPro using the acquisition method, as prescribed by ASC 805, “Business Combinations”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“Fair Value Measurement” (“ASC 820”).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775" w:type="dxa"/>
        <w:jc w:val="left"/>
        <w:tblInd w:w="0" w:type="dxa"/>
        <w:tblLayout w:type="fixed"/>
        <w:tblCellMar>
          <w:top w:w="28" w:type="dxa"/>
          <w:left w:w="28" w:type="dxa"/>
          <w:bottom w:w="28" w:type="dxa"/>
          <w:right w:w="28" w:type="dxa"/>
        </w:tblCellMar>
      </w:tblPr>
      <w:tblGrid>
        <w:gridCol w:w="1336"/>
        <w:gridCol w:w="1174"/>
        <w:gridCol w:w="117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w:t>
            </w:r>
            <w:r>
              <w:rPr>
                <w:color w:val="000000"/>
              </w:rPr>
              <w:t xml:space="preserve"> </w:t>
            </w:r>
            <w:r>
              <w:rPr>
                <w:rFonts w:ascii="Times New Roman;serif" w:hAnsi="Times New Roman;serif"/>
                <w:b w:val="false"/>
                <w:color w:val="000000"/>
                <w:sz w:val="20"/>
              </w:rPr>
              <w:t>assets</w:t>
            </w:r>
            <w:r>
              <w:rPr>
                <w:color w:val="000000"/>
              </w:rPr>
              <w:t xml:space="preserve"> –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w:t>
            </w:r>
            <w:r>
              <w:rPr>
                <w:color w:val="000000"/>
              </w:rPr>
              <w:t xml:space="preserve"> </w:t>
            </w:r>
            <w:r>
              <w:rPr>
                <w:rFonts w:ascii="Times New Roman;serif" w:hAnsi="Times New Roman;serif"/>
                <w:b w:val="false"/>
                <w:color w:val="000000"/>
                <w:sz w:val="20"/>
              </w:rPr>
              <w:t>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20"/>
              </w:rPr>
              <w:t>identifiable net</w:t>
            </w:r>
            <w:r>
              <w:rPr>
                <w:color w:val="000000"/>
              </w:rPr>
              <w:t xml:space="preserve"> </w:t>
            </w:r>
            <w:r>
              <w:rPr>
                <w:rFonts w:ascii="Times New Roman;serif" w:hAnsi="Times New Roman;serif"/>
                <w:b w:val="false"/>
                <w:color w:val="000000"/>
                <w:sz w:val="20"/>
              </w:rPr>
              <w:t>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48285"/>
                <wp:effectExtent l="0" t="0" r="0" b="0"/>
                <wp:wrapNone/>
                <wp:docPr id="264" name="Frame2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partially deductible for tax purposes. The Company is able to deduct approximately $12.9 million of goodwill for tax purposes.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acquired as part of the acquisition was $5.8 million. The gross contractual amount of accounts receivable acquired was $5.9 million, of which approximately $0.1 million was expected to be uncollectible as of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SteelPro:</w:t>
      </w:r>
    </w:p>
    <w:tbl>
      <w:tblPr>
        <w:tblW w:w="2743" w:type="dxa"/>
        <w:jc w:val="left"/>
        <w:tblInd w:w="0" w:type="dxa"/>
        <w:tblLayout w:type="fixed"/>
        <w:tblCellMar>
          <w:top w:w="28" w:type="dxa"/>
          <w:left w:w="28" w:type="dxa"/>
          <w:bottom w:w="28" w:type="dxa"/>
          <w:right w:w="28" w:type="dxa"/>
        </w:tblCellMar>
      </w:tblPr>
      <w:tblGrid>
        <w:gridCol w:w="667"/>
        <w:gridCol w:w="586"/>
        <w:gridCol w:w="591"/>
        <w:gridCol w:w="263"/>
        <w:gridCol w:w="263"/>
        <w:gridCol w:w="37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months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7.6 years for finite lived intangible assets.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Aura Energy,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29, 2025, the Company acquired 100% of the assets of Aura Energy, LLC (“Aura”), a manufacturer of high-density power distribution products. This acquisition enhances the Company’s data center power offerings, adding the design, manufacture, and installation of custom power distribution units, remote power panels, and other UL-certified power distribution solutions to the Company’s portfolio of Power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Aura totaled $18.7 million, and consisted of the following components measured at their estimated fair values:</w:t>
      </w:r>
    </w:p>
    <w:tbl>
      <w:tblPr>
        <w:tblW w:w="4715" w:type="dxa"/>
        <w:jc w:val="left"/>
        <w:tblInd w:w="0" w:type="dxa"/>
        <w:tblLayout w:type="fixed"/>
        <w:tblCellMar>
          <w:top w:w="28" w:type="dxa"/>
          <w:left w:w="28" w:type="dxa"/>
          <w:bottom w:w="28" w:type="dxa"/>
          <w:right w:w="28" w:type="dxa"/>
        </w:tblCellMar>
      </w:tblPr>
      <w:tblGrid>
        <w:gridCol w:w="1312"/>
        <w:gridCol w:w="1152"/>
        <w:gridCol w:w="1165"/>
        <w:gridCol w:w="211"/>
        <w:gridCol w:w="72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rollover equity issued was determined based on the Company’s January 2, 2025 change-of-control valuation, which management concluded approximated fair value at the January 29, 2025 acquisition date, as there is no active market for the Company’s equity.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(“Contingent Consideration”) consists of additional post-closing cash payments that shall be (1) determined based upon agreed upon percentages of revenue generated from the sale of specified products during a 5-year period beginning as of the acquisition date and ending on the fifth anniversary thereof (the “Earnout Period”) and (2) calculated and paid annually to the sellers of Aura based upon qualifying non-GAAP revenue generated during each year comprising the Earnout Period. The is no defined limit regarding the amount of Contingent Consideration that could potentially become payable to the sellers of Aura on an annual basis or over the Earnout Period. The Company has concluded that the Contingent Consideration shall be accounted for as part of the acquisition purchase consideration, as there are no continuing employment conditions associated with earning the amounts payable under the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Consideration has been determined based upon non-GAAP revenue projections and projections of the Company’s related payment obligations to Aura’s sellers, discounted to reflect the present value of the projected payment obligations. As the Contingent Consideration is both classified and recorded as a liability, it must be remeasured and recorded at fair value on a recurring basis, and changes in the fair value of the liability are recorded to earnings in our condensed consolidated statements of operations (refer to Note 8 – Fair Value Measurement).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48285"/>
                <wp:effectExtent l="0" t="0" r="0" b="0"/>
                <wp:wrapNone/>
                <wp:docPr id="265" name="Frame2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purchase consideration, the Company incurred approximately $0.1 million of third-party, acquisition-related costs, which were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accounted for the acquisition of Aura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596" w:type="dxa"/>
        <w:jc w:val="left"/>
        <w:tblInd w:w="0" w:type="dxa"/>
        <w:tblLayout w:type="fixed"/>
        <w:tblCellMar>
          <w:top w:w="28" w:type="dxa"/>
          <w:left w:w="28" w:type="dxa"/>
          <w:bottom w:w="28" w:type="dxa"/>
          <w:right w:w="28" w:type="dxa"/>
        </w:tblCellMar>
      </w:tblPr>
      <w:tblGrid>
        <w:gridCol w:w="1271"/>
        <w:gridCol w:w="1116"/>
        <w:gridCol w:w="1123"/>
        <w:gridCol w:w="211"/>
        <w:gridCol w:w="72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not deductible for tax purposes until the Company fulfills its obligation pursuant to the contingent consideration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Aura:</w:t>
      </w:r>
    </w:p>
    <w:tbl>
      <w:tblPr>
        <w:tblW w:w="3253" w:type="dxa"/>
        <w:jc w:val="left"/>
        <w:tblInd w:w="0" w:type="dxa"/>
        <w:tblLayout w:type="fixed"/>
        <w:tblCellMar>
          <w:top w:w="28" w:type="dxa"/>
          <w:left w:w="28" w:type="dxa"/>
          <w:bottom w:w="28" w:type="dxa"/>
          <w:right w:w="28" w:type="dxa"/>
        </w:tblCellMar>
      </w:tblPr>
      <w:tblGrid>
        <w:gridCol w:w="846"/>
        <w:gridCol w:w="743"/>
        <w:gridCol w:w="750"/>
        <w:gridCol w:w="267"/>
        <w:gridCol w:w="267"/>
        <w:gridCol w:w="380"/>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7.9 years for finite lived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reported results of operations for the three months ended March 31, 2025 include the results of Aura subsequent to the acquisition date. Revenue and pre-tax income (loss) attributable to Aura are not separately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48285"/>
                <wp:effectExtent l="0" t="0" r="0" b="0"/>
                <wp:wrapNone/>
                <wp:docPr id="266" name="Frame2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disclosed because such amounts are immaterial and the operations of Aura were integrated into the Company's existing operations following the acquisition, making separate identification impracticable.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Earnest Solutions,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2025, the Company acquired the assets of Earnest Solutions, LLC (“Earnest”), a respected power consulting, design, integration and implementation firm. This acquisition enhances the Company’s ability to develop and deliver customer power distribution solutions at scale for the data center environments.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consideration paid to acquire Earnest totaled $6.0 million, consisting of $1.0 million of cash and equity with an estimated fair value of $5.0 million as of the acquisition date.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of Earnest using the acquisition method, as prescribed by ASC 805. Due to the limited operations of Earnest prior to consummation of the acquisition, assets and liabilities recorded in accordance with ASC 805 were limited to a non-compete intangible asset, recorded at an estimated fair value of $0.2 million and goodwill of $5.8 million. The non-compete intangible asset is being amortized over a period of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$1.0 million of goodwill attributable to this acquisition is tax deductible.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for the three months ended March 31, 2025 gives effect to (1) the Change in Control Transaction and (2) the acquisitions of Aura, Earnest and SteelPro, as if they had occurred on January 1, 2024. The unaudited pro forma results of operations have been prepared for informational purposes only, and do not necessarily represent what the results of operations would have been had the acquisition been completed on January 1, 2024. In addition, the unaudited pro forma results of operations are not intended to be a projection of future operating results, do not reflect cost savings from operational efficiencies or synergies that could result from the acquisitions, and do not reflect additional revenue opportunities that may result following the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supplemental pro forma financial information included in the table below includes pro forma adjustments for (i) revenue and costs recognized by each of the acquired businesses (excluding revenue attributable to sales to the Company, which has been eliminated) for periods prior to their acquisition dates; (ii) depreciation and amortization that would have been recognized related to the acquired property, plant, and equipment and intangible assets at their acquisition-date fair values, (iii) estimated incremental interest expense associated with borrowings that were a source of funds for purchase consideration, and (iv) the estimated income tax effect on the pro forma adjustments: </w:t>
      </w:r>
    </w:p>
    <w:tbl>
      <w:tblPr>
        <w:tblW w:w="2785" w:type="dxa"/>
        <w:jc w:val="left"/>
        <w:tblInd w:w="0" w:type="dxa"/>
        <w:tblLayout w:type="fixed"/>
        <w:tblCellMar>
          <w:top w:w="28" w:type="dxa"/>
          <w:left w:w="28" w:type="dxa"/>
          <w:bottom w:w="28" w:type="dxa"/>
          <w:right w:w="28" w:type="dxa"/>
        </w:tblCellMar>
      </w:tblPr>
      <w:tblGrid>
        <w:gridCol w:w="407"/>
        <w:gridCol w:w="358"/>
        <w:gridCol w:w="359"/>
        <w:gridCol w:w="109"/>
        <w:gridCol w:w="109"/>
        <w:gridCol w:w="109"/>
        <w:gridCol w:w="259"/>
        <w:gridCol w:w="886"/>
        <w:gridCol w:w="18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with the approval of those charged with governance, committed to a plan to sell Workplace Modular Systems, LLC (“WMS”) – a subsidiary that manufactures configurable workstation solutions and is not deemed core to the Company’s operations. As of December 31, 2025, WMS was available for immediate sale in its present condition, the Company had both initiated an active plan to locate a buyer and received interest from a potential buyer, there were no expectations for a significant change to the plan to sell WMS or that the plan would be withdrawn, and completion and recognition of the disposal of WMS within one year was deemed probable. Accordingly, the assets and liabilities of WMS were reclassified and reported as current assets or liabilities held for sale in the consolidated balance sheet as of December 31, 2025. WMS’s net assets were reclassified to held for sale at their carrying value. No loss was recognized to measure WMS at the lower of its carrying value or fair value less costs to sell as of December 31, 2025. On April 24, 2026, the Company completed the sale of WMS for $2.7 million. During the three months ended March 31, 2026, the Company recognized a loss of $2.1 million for the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48285"/>
                <wp:effectExtent l="0" t="0" r="0" b="0"/>
                <wp:wrapNone/>
                <wp:docPr id="267" name="Frame2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impairment of the long-lived assets of WMS held for sale, which was based upon the final sale price of WMS less costs to sell.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 of this subsidiary has not been presented as a discontinued operation in the accompanying condensed consolidated financial statements because the disposal does not represent a strategic shift that will have a major effect on the Company’s operations and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WMS that have been classified as held for sale at March 31, 2026 and December 31, 2025:</w:t>
      </w:r>
    </w:p>
    <w:tbl>
      <w:tblPr>
        <w:tblW w:w="7018" w:type="dxa"/>
        <w:jc w:val="left"/>
        <w:tblInd w:w="0" w:type="dxa"/>
        <w:tblLayout w:type="fixed"/>
        <w:tblCellMar>
          <w:top w:w="28" w:type="dxa"/>
          <w:left w:w="28" w:type="dxa"/>
          <w:bottom w:w="28" w:type="dxa"/>
          <w:right w:w="28" w:type="dxa"/>
        </w:tblCellMar>
      </w:tblPr>
      <w:tblGrid>
        <w:gridCol w:w="1386"/>
        <w:gridCol w:w="1217"/>
        <w:gridCol w:w="1221"/>
        <w:gridCol w:w="109"/>
        <w:gridCol w:w="109"/>
        <w:gridCol w:w="109"/>
        <w:gridCol w:w="211"/>
        <w:gridCol w:w="631"/>
        <w:gridCol w:w="109"/>
        <w:gridCol w:w="109"/>
        <w:gridCol w:w="109"/>
        <w:gridCol w:w="109"/>
        <w:gridCol w:w="337"/>
        <w:gridCol w:w="1007"/>
        <w:gridCol w:w="245"/>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 held for sale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 held for sale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w:t>
            </w: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Revenue from Contracts with Customers</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contracts generally have original terms of one year or less, and the Company has elected the practical expedient to exclude disclosures about remaining performance obligations for contracts with an original expected duration of one year or less.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48285"/>
                <wp:effectExtent l="0" t="0" r="0" b="0"/>
                <wp:wrapNone/>
                <wp:docPr id="268" name="Frame2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the timing of such revenue recognized during the three months ended March 31, 2026 and 2025:</w:t>
      </w:r>
    </w:p>
    <w:tbl>
      <w:tblPr>
        <w:tblW w:w="6036"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37"/>
        <w:gridCol w:w="930"/>
        <w:gridCol w:w="122"/>
        <w:gridCol w:w="109"/>
        <w:gridCol w:w="109"/>
        <w:gridCol w:w="109"/>
        <w:gridCol w:w="259"/>
        <w:gridCol w:w="886"/>
        <w:gridCol w:w="189"/>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a period of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nature, amount, timing, and uncertainty of revenue, and cash flows are affected by the mix of products sold.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Estimates of Progress Toward Completion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project schedule, identified risks and opportunities, and the related changes in estimates of revenues and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changes in estimates of progress toward completion on performance obligations recognized over time resulted in an unfavorable cumulative catch-up adjustment to revenue of $5.0 million. No cumulative catch-up adjustments were recorded during the three months ended March 31, 2025.</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Loss Contract Reserves</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a provisional loss of $8.7 million for which the total costs incurred exceeded the total estimates of the project's transaction price. As of March 31, 2026, the loss contract reserve balance was $4.0 million. The Company did not record a provisional loss and no loss reserve was recorded as of and for the period ended March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three months ended March 31, 2026 that was included in contract liabilities as of December 31, 2025 was $11.6 million. Revenue recognized during the three months ended March 31, 2025 that was included in contract liabilities as of December 31, 2024 was $15.2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were as follows:</w:t>
      </w:r>
    </w:p>
    <w:tbl>
      <w:tblPr>
        <w:tblW w:w="494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261"/>
        <w:gridCol w:w="894"/>
        <w:gridCol w:w="135"/>
        <w:gridCol w:w="109"/>
        <w:gridCol w:w="109"/>
        <w:gridCol w:w="109"/>
        <w:gridCol w:w="259"/>
        <w:gridCol w:w="886"/>
        <w:gridCol w:w="18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w:t>
      </w:r>
    </w:p>
    <w:tbl>
      <w:tblPr>
        <w:tblW w:w="6023"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261"/>
        <w:gridCol w:w="894"/>
        <w:gridCol w:w="135"/>
        <w:gridCol w:w="109"/>
        <w:gridCol w:w="109"/>
        <w:gridCol w:w="109"/>
        <w:gridCol w:w="259"/>
        <w:gridCol w:w="886"/>
        <w:gridCol w:w="1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248285"/>
                <wp:effectExtent l="0" t="0" r="0" b="0"/>
                <wp:wrapNone/>
                <wp:docPr id="269" name="Frame2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and contract liabilities are primarily due to the timing of payments from customers and the Company satisfying performance obligations during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Long-Term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as of March 31, 2026 and December 31, 2025 was as follows:</w:t>
      </w:r>
    </w:p>
    <w:tbl>
      <w:tblPr>
        <w:tblW w:w="10205" w:type="dxa"/>
        <w:jc w:val="left"/>
        <w:tblInd w:w="0" w:type="dxa"/>
        <w:tblLayout w:type="fixed"/>
        <w:tblCellMar>
          <w:top w:w="28" w:type="dxa"/>
          <w:left w:w="28" w:type="dxa"/>
          <w:bottom w:w="28" w:type="dxa"/>
          <w:right w:w="28" w:type="dxa"/>
        </w:tblCellMar>
      </w:tblPr>
      <w:tblGrid>
        <w:gridCol w:w="1089"/>
        <w:gridCol w:w="937"/>
        <w:gridCol w:w="939"/>
        <w:gridCol w:w="109"/>
        <w:gridCol w:w="109"/>
        <w:gridCol w:w="109"/>
        <w:gridCol w:w="436"/>
        <w:gridCol w:w="436"/>
        <w:gridCol w:w="438"/>
        <w:gridCol w:w="109"/>
        <w:gridCol w:w="109"/>
        <w:gridCol w:w="109"/>
        <w:gridCol w:w="657"/>
        <w:gridCol w:w="641"/>
        <w:gridCol w:w="641"/>
        <w:gridCol w:w="109"/>
        <w:gridCol w:w="109"/>
        <w:gridCol w:w="109"/>
        <w:gridCol w:w="211"/>
        <w:gridCol w:w="826"/>
        <w:gridCol w:w="109"/>
        <w:gridCol w:w="109"/>
        <w:gridCol w:w="109"/>
        <w:gridCol w:w="109"/>
        <w:gridCol w:w="271"/>
        <w:gridCol w:w="1064"/>
        <w:gridCol w:w="202"/>
      </w:tblGrid>
      <w:tr>
        <w:trPr/>
        <w:tc>
          <w:tcPr>
            <w:tcW w:w="10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Unamortized</w:t>
            </w:r>
            <w:r>
              <w:rPr>
                <w:color w:val="000000"/>
              </w:rPr>
              <w:t xml:space="preserve"> </w:t>
            </w:r>
            <w:r>
              <w:rPr>
                <w:rFonts w:ascii="Times New Roman;serif" w:hAnsi="Times New Roman;serif"/>
                <w:b w:val="false"/>
                <w:color w:val="000000"/>
                <w:sz w:val="20"/>
              </w:rPr>
              <w:t>debt</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Current</w:t>
            </w:r>
            <w:r>
              <w:rPr>
                <w:color w:val="000000"/>
              </w:rPr>
              <w:t xml:space="preserve"> </w:t>
            </w:r>
            <w:r>
              <w:rPr>
                <w:rFonts w:ascii="Times New Roman;serif" w:hAnsi="Times New Roman;serif"/>
                <w:b w:val="false"/>
                <w:color w:val="000000"/>
                <w:sz w:val="20"/>
              </w:rPr>
              <w:t>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together with certain of its subsidiaries, entered into a senior secured credit agreement (as amended, the “Credit Agreement”) with a syndicate of lenders.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the following credit facilities: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of $200.0 million, funded on the closing date;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Delayed Draw Term Loan (“DDTL”) of up to $75.0 million, available for borrowing for up to 24 months in one or more draws following the closing date;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of $50.0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proceeds of the Term Loans were used, together with equity contributions, to repay the Company’s existing indebtedness and to finance the Change in Control Transaction along with related transaction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remaining availability under the DDTL was $27.0 million and remaining availability under the Revolver was $40.0 million. The Company incurs a 0.50% per annum commitment fee, payable quarterly.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Loans and DDTLs require quarterly principal payments, beginning September 30, 2025, equal to 0.25% of the principal amount, with the remaining balance due at maturity.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 No. 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the Company entered into an amendment to the Credit Agreement (“Amendment No. 1”), which provided for (i) $20.0 million of incremental term loans and (ii) $10.0 million of incremental revolving credit commitments, increasing the total revolving commitments to $60.0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incremental term loans have the same terms and conditions as the existing credit agreement, including maturity date, interest rate structure, collateral, and guarantees. The proceeds of the incremental term loans were used to repay outstanding revolving credit borrowings.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Amendment No. 1 in accordance with ASC 470-50, Debt—Modifications and Extinguishments and concluded that it represented a modification for accounting purposes.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248285"/>
                <wp:effectExtent l="0" t="0" r="0" b="0"/>
                <wp:wrapNone/>
                <wp:docPr id="270" name="Frame2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 No. 3</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the Company entered into an amendment to the Credit Agreement (“Amendment No. 3”), which provided for incremental term loans of $40.0 million. The incremental term loans have the same terms and conditions as the existing credit agreement, including maturity date, interest rate structure, collateral, and guarantees. The Company paid a 1% upfront fee on the aggregate proceeds received. The proceeds from the incremental term loans were used to repay revolving credit borrowings outstanding as of February 13,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Amendment No. 3 in accordance with ASC 470-50, Debt—Modifications and Extinguishments, and concluded that it represents a modification for accounting purposes.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bear interest, at the Company’s option, at either a Benchmark Rate (based on Term SOFR, subject to a floor) or an Alternate Base Rate (“ABR”), plus an applicable margin. The applicable margin is determined based on the Secured Debt to consolidated EBITDA ratio. During the three months ended March 31, 2026 and March 31, 2025 the Company’s applicable margin was 3.5% and 5.0%,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payable at the end of the applicable interest period, which is one month, for Benchmark Rate loans. The Term Loan and DDTL had effective interest rates of 8.6% as of March 31, 2026,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senior secured and are guaranteed by substantially all of the Company’s existing and future domestic subsidiaries, subject to customary exceptions. The obligations are secured by a first-priority lien on substantially all assets of the Company and the guarantor subsidiaries, including pledges of equity interests, subject to customary exclusions.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restrictions on additional indebtedness, liens, asset sales, investments, restricted payments, and transactions with affiliates.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also includes financial covenants requiring the Company to maintain a maximum Secured Debt to EBITDA ratio, tested quarterly. Management is not aware of any violations of the covenants at March 31, 2026 or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Contingent Redemption and Acceleration Features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change-of-control and event-driven provisions that may require the repayment or acceleration of outstanding borrowings upon the occurrence of certain contingent events, not currently considered likely to occur. Specifically, a change of control (as defined in the Credit Agreement), constitutes an event of default. Upon the occurrence of such an event, the lenders may declare all outstanding amounts under the Credit Agreement, including accrued interest and fees, to be immediately due and payable.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Aggregate annual maturities of our outstanding long-term debt at March 31, 2026 are as follows:</w:t>
      </w:r>
    </w:p>
    <w:tbl>
      <w:tblPr>
        <w:tblW w:w="3197"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248285"/>
                <wp:effectExtent l="0" t="0" r="0" b="0"/>
                <wp:wrapNone/>
                <wp:docPr id="271" name="Frame2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Equity-Based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Awards with a Time-Based Service Condition, Performance Target, and Market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awards were granted for accounting purposes and for which a grant agreement with each employee was executed during the year ended December 31, 2025. For accounting purposes, the units were deemed not to be granted until the annual earnings-based performance target was established by management and the Board and communicated to the employees during the three months ended March 31, 2026. The grant-date fair value of these units was estimated to be approximately $3.6 million, which is expected to be recognized as expense over the next 4 to 4.7 years.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granted under the 2025 Plan was estimated using an Option Pricing Method. The Company utilizes the estimated time to a liquidity event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Other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 March 31, 2026 and December 31, 2025:</w:t>
      </w:r>
    </w:p>
    <w:tbl>
      <w:tblPr>
        <w:tblW w:w="4799"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211"/>
        <w:gridCol w:w="721"/>
        <w:gridCol w:w="109"/>
        <w:gridCol w:w="109"/>
        <w:gridCol w:w="109"/>
        <w:gridCol w:w="109"/>
        <w:gridCol w:w="309"/>
        <w:gridCol w:w="1056"/>
        <w:gridCol w:w="22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reserves for excess and obsolete inventory of $1.4 million and $2.2 million as of March 31, 2026 and December 31,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March 31, 2026 and December 31, 2025:</w:t>
      </w:r>
    </w:p>
    <w:tbl>
      <w:tblPr>
        <w:tblW w:w="7604" w:type="dxa"/>
        <w:jc w:val="left"/>
        <w:tblInd w:w="0" w:type="dxa"/>
        <w:tblLayout w:type="fixed"/>
        <w:tblCellMar>
          <w:top w:w="28" w:type="dxa"/>
          <w:left w:w="28" w:type="dxa"/>
          <w:bottom w:w="28" w:type="dxa"/>
          <w:right w:w="28" w:type="dxa"/>
        </w:tblCellMar>
      </w:tblPr>
      <w:tblGrid>
        <w:gridCol w:w="1564"/>
        <w:gridCol w:w="1376"/>
        <w:gridCol w:w="1379"/>
        <w:gridCol w:w="109"/>
        <w:gridCol w:w="109"/>
        <w:gridCol w:w="109"/>
        <w:gridCol w:w="211"/>
        <w:gridCol w:w="721"/>
        <w:gridCol w:w="109"/>
        <w:gridCol w:w="109"/>
        <w:gridCol w:w="109"/>
        <w:gridCol w:w="109"/>
        <w:gridCol w:w="309"/>
        <w:gridCol w:w="1056"/>
        <w:gridCol w:w="225"/>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an orderly transaction between market participants at the measurement date. Fair value measurements consider market data, as well as assumptions that market participants would use in pricing an asset or liability, when such data is available. Inputs used to measure fair value may be readily observable, corroborated by market data, or generally unobservable. GAAP (1) establishes a three-level fair value hierarchy which defines and prioritizes the inputs that shall be used when measuring fair value and (2) requires that valuation techniques maximize the use of observable inputs and minimize use of unobservable inputs. Inputs used to measure fair value are defined in the three-level fair value hierarchy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1 – Observable inputs that are based on unadjusted quoted prices in active markets for identical assets and liabilities.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248285"/>
                <wp:effectExtent l="0" t="0" r="0" b="0"/>
                <wp:wrapNone/>
                <wp:docPr id="272" name="Frame2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2 - Observable inputs other than Level 1 quoted prices, such as quoted market prices for similar assets and liabilities in active markets, quoted prices for identical or similar assets and liabilities in markets that are not active, and other inputs that are observable or can be corroborated by observable market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3 - Unobservable inputs that are supported by little or no market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at fair value are classified in their entirety based upon the lowest level of input that is significant to the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accounts receivable, accounts payable, related party payables, and accrued expenses and other current liabilities are carried at cost, which approximated fair value for these financial instruments as of March 31, 2026 and December 31, 2025, due to their short-term nature.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third-party, long-term debt as of March 31, 2026 is classified as Level 2 in the fair value hierarchy and is carried at cost. The carrying value of our long-term debt as of March 31, 2026 and December 31, 2025 has been deemed to approximate fair value due to the debt’s variable interest rate that adjusts with market fluctuations in the benchmark rate upon which the interest rate is determined.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the contingent consideration related to the January 29, 2025 acquisition of Aura (refer to Note 2 – Acquisitions) at fair value on a recurring basis. Measurement of the fair value of this liability is characterized as Level 3 in the fair value hierarchy due to the use of a discounted cash flow model that incorporates unobservable inputs, consisting primarily of future non-GAAP revenue projections and discount rates applied to adjust for forecast risk and time value of money. Changes in future non-GAAP revenue projections and/or the applied discount rates over the term of this arrangement could result in material changes to the estimated fair value of this liability. Furthermore, this liability may ultimately be settled for an amount that differs from its carrying amount. The following table summarizes the changes in the fair value of the contingent consideration liability during the three months ended March 31, 2026:</w:t>
      </w:r>
    </w:p>
    <w:tbl>
      <w:tblPr>
        <w:tblW w:w="3950" w:type="dxa"/>
        <w:jc w:val="left"/>
        <w:tblInd w:w="0" w:type="dxa"/>
        <w:tblLayout w:type="fixed"/>
        <w:tblCellMar>
          <w:top w:w="28" w:type="dxa"/>
          <w:left w:w="28" w:type="dxa"/>
          <w:bottom w:w="28" w:type="dxa"/>
          <w:right w:w="28" w:type="dxa"/>
        </w:tblCellMar>
      </w:tblPr>
      <w:tblGrid>
        <w:gridCol w:w="1037"/>
        <w:gridCol w:w="912"/>
        <w:gridCol w:w="915"/>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2025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payments made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March 31, 2026</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change in fair value of the contingent consideration liability during the three months ended March 31, 2026 was considered immaterial.</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certain interest rate swap derivatives with a notional amount of $200.0 million and a two-year term. These swaps are for the Company's 2025 Credit Agreement and are not designated. The interest rate swaps are valued using the secured overnight financing rate ("SOFR") yield curves at the reporting date and are classified in Level 2. Counterparties to these contracts are highly rated financial institutions.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fair value of the undesignated interest rate swap agreements was approximately $0.8 million, recorded in other long-term liabilities, and the Company recognized a loss of $0.8 million in interest expense in the condensed consolidated statements of operations for the three months ended March 31, 2026. At December 31, 2025, the fair value of the derivatives was immaterial. Prior to September 2025, the Company had not entered into any interest rate swap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Segment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its Chief Executive Officer as its chief operating decision maker (“CODM”), as that term has been defined in GAAP. The Company’s Chief Executive Officer reviews financial information presented on a consolidated basis for purposes of assessing financial performance and allocating resources and, accordingly, the Company’s operations are comprised of a single operating segment and single reportable segment.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248285"/>
                <wp:effectExtent l="0" t="0" r="0" b="0"/>
                <wp:wrapNone/>
                <wp:docPr id="273" name="Frame2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expenses reviewed by the CODM on a regular basis for purposes of assessing the Company’s financial performance and allocating resources.</w:t>
      </w:r>
    </w:p>
    <w:tbl>
      <w:tblPr>
        <w:tblW w:w="6952"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237"/>
        <w:gridCol w:w="930"/>
        <w:gridCol w:w="122"/>
        <w:gridCol w:w="109"/>
        <w:gridCol w:w="109"/>
        <w:gridCol w:w="109"/>
        <w:gridCol w:w="259"/>
        <w:gridCol w:w="886"/>
        <w:gridCol w:w="189"/>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general, and administrative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selling, general, and administrative expenses primarily consist of facilities expenses that do not relate to our manufacturing operations, sales and marketing expenses, and other general administrative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all of the Company’s revenue is generated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Non-cancelable Purchase 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non-cancelable purchase commitments with various parties to purchase primarily software, payroll, and cloud related-based services. As of March 31, 2026 and the Company had outstanding non-cancelable purchase commitments in the amount of $1.8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and Other</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may be subject to various claims and legal proceedings that arise in the ordinary course of its business activities. Management believes that any liability that may ultimately result from the resolution of these matters will not have a material effect on the financial condition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 – 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SteelPro, on October 6, 2025, the Company entered into an arrangement with Fox Red to lease the manufacturing facilities used by SteelPro in Houston, MS. Fox Red is a related party because it is owned by an individual in executive management of the Company. The Company concluded that it held an implicit variable interest in the entity through the lease agreement and an implicit commitment to provide funding to expand the manufacturing premises. As a result, the Company concluded that it met the requirements for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248285"/>
                <wp:effectExtent l="0" t="0" r="0" b="0"/>
                <wp:wrapNone/>
                <wp:docPr id="274" name="Frame2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consolidation pursuant to the VIE sub-sections of ASC 810. The Company consolidated the VIE because it is the primary beneficiary, having the power to direct the activities that most significantly affect the VIE’s economic performance. Additionally, the Company has the obligation to absorb losses that could be significant to the VIE through implied obligations resulting from the lease arrangement and the nature of the related party relationship. The VIE’s principal assets, the land and building, can only be used to settle the obligations of the VIE.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lease term is five years with two automatic renewals of additional 5 year terms. The lease does not contain a residual value guarantee and the Company is not obligated to provide any financial support to the VIE other than the lease payments. The lease payments are scheduled to increase by 3% upon each additional lease renewal. The Company does not have an equity interest in the VIE. As a result, the noncontrolling interest reported in the Company’s condensed consolidated balance sheets represents the net assets of the VIE, and the net income of the VIE is reported in the Company’s condensed consolidated statements of operations as being attributable to the noncontrolling interest.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to the VIE were approximately $1.7 million during the three months ended March 31, 2026. Of this amount, $1.4 million was advanced as a prepayment for construction in progress related to the expansion of the Houston, MS manufacturing facility (refer to Note 13 – Subsequent Events).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costs related to the lease, which were eliminated in consolidation, were $0.2 million during the three months ended March 31, 2026. The VIE made distributions totaling $0.2 million during the three months ended March 31,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sheets as of March 31, 2026 and December 31, 2025 include the following assets of the VIE. The VIE did not have any outstanding obligations as of March 31, 2026:</w:t>
      </w:r>
    </w:p>
    <w:tbl>
      <w:tblPr>
        <w:tblW w:w="10205" w:type="dxa"/>
        <w:jc w:val="left"/>
        <w:tblInd w:w="0" w:type="dxa"/>
        <w:tblLayout w:type="fixed"/>
        <w:tblCellMar>
          <w:top w:w="28" w:type="dxa"/>
          <w:left w:w="28" w:type="dxa"/>
          <w:bottom w:w="28" w:type="dxa"/>
          <w:right w:w="28" w:type="dxa"/>
        </w:tblCellMar>
      </w:tblPr>
      <w:tblGrid>
        <w:gridCol w:w="2564"/>
        <w:gridCol w:w="2250"/>
        <w:gridCol w:w="2263"/>
        <w:gridCol w:w="109"/>
        <w:gridCol w:w="109"/>
        <w:gridCol w:w="109"/>
        <w:gridCol w:w="211"/>
        <w:gridCol w:w="616"/>
        <w:gridCol w:w="109"/>
        <w:gridCol w:w="109"/>
        <w:gridCol w:w="109"/>
        <w:gridCol w:w="109"/>
        <w:gridCol w:w="330"/>
        <w:gridCol w:w="965"/>
        <w:gridCol w:w="243"/>
      </w:tblGrid>
      <w:tr>
        <w:trPr/>
        <w:tc>
          <w:tcPr>
            <w:tcW w:w="2564"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7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 net (net of accumulated depreciation of $105 and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the building and building improvements was $0.1 million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Related-Party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management service agreement with the Company’s majority owner, whereby the majority owner provides general management services, assistance with financing of acquisitions, strategic planning, and other agreed-upon services. As part of the agreement, the Company pays an annual management fee of $1.0 million. Additionally, the majority owner receives reimbursement of expenses. The Company incurred approximately $0.3 million and $0.3 million of management fees for the three months ended March 31, 2026 and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accrued $19.9 million and $7.9 million, respectively, of tax distributions to be paid to the Company’s members as of March 31, 2026 and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incurred approximately $2.5 million of professional service fees payable to an affiliate, which is included in Related party payable on the condensed consolidated balance sheets. Of this amount, $2.1 million was recorded as Related party expenses in the condensed consolidated statements of operations, and $0.4 million was recorded as deferred offering costs within Other long-term assets on the condensed consolidated balance sheets as of March 31, 2026 (refer to Note 1 – Description of Business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48285"/>
                <wp:effectExtent l="0" t="0" r="0" b="0"/>
                <wp:wrapNone/>
                <wp:docPr id="275" name="Frame2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Subsequent Events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Subsequent events have been evaluated through June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2026, which is the date the condensed consolidated financial statements were available to be issued.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2026, Fox Red, a consolidated VIE of the Company, executed a 10.3 year loan agreement for a $7.1 million construction loan for the construction of a 115,900 square foot expansion of its industrial manufacturing warehouse and storage facility currently leased to the Company as tenant. As a condition of the loan, the lease must be maintained by the Company and Fox Red without material modification. Prior to the construction loan, the Company and Fox Red entered into a Cash Advance and Reimbursement Agreement whereby the Company advanced amounts to Fox Red to assist with funding loan payments and project costs prior to obtaining final funding. Once the loan agreement closed, Fox Red reimbursed the cash advance to the Company. As a result of the construction loan, the monthly payments to the VIE increased to approximately $0.2 million per month.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lease agreement with NP First Flight Building 3, LLC for a build-to-suit facility comprising approximately 286,480 rentable square feet to be located at TBD Washington Church Road, Miami Township, Ohio 45342. The lease will commence upon the Company’s possession of the building following substantial completion of the landlord’s improvements, which is expected in 2027. The initial lease term is 124 months. The lease includes an option for the Company to extend the term for one additional five-year period, subject to market terms. Total undiscounted minimum lease payments under the initial term are approximately $25.5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the Company executed an amendment to the Credit Agreement ("Amendment No. 4"). Amendment No. 4 provided incremental term loans of an aggregate principal amount of $346.0 million and an additional $10.0 million in DDTL commitments. The proceeds from this amendment were primarily used to fund a distribution to certain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48285"/>
                <wp:effectExtent l="0" t="0" r="0" b="0"/>
                <wp:wrapNone/>
                <wp:docPr id="276" name="Frame2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i/>
          <w:color w:val="000000"/>
          <w:sz w:val="36"/>
        </w:rPr>
        <w:t>Shares</w:t>
      </w:r>
    </w:p>
    <w:p>
      <w:pPr>
        <w:pStyle w:val="TextBody"/>
        <w:bidi w:val="0"/>
        <w:spacing w:before="160" w:after="283"/>
        <w:ind w:left="0" w:right="0" w:firstLine="360"/>
        <w:jc w:val="both"/>
        <w:rPr/>
      </w:pPr>
      <w:r>
        <w:rPr/>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Accelevation Holdings Corp.</w:t>
      </w:r>
    </w:p>
    <w:p>
      <w:pPr>
        <w:pStyle w:val="TextBody"/>
        <w:bidi w:val="0"/>
        <w:spacing w:before="0" w:after="240"/>
        <w:jc w:val="center"/>
        <w:rPr/>
      </w:pPr>
      <w:r>
        <w:rPr/>
        <w:drawing>
          <wp:inline distT="0" distB="0" distL="0" distR="0">
            <wp:extent cx="2876550" cy="609600"/>
            <wp:effectExtent l="0" t="0" r="0" b="0"/>
            <wp:docPr id="27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 descr=""/>
                    <pic:cNvPicPr>
                      <a:picLocks noChangeAspect="1" noChangeArrowheads="1"/>
                    </pic:cNvPicPr>
                  </pic:nvPicPr>
                  <pic:blipFill>
                    <a:blip r:embed="rId12"/>
                    <a:stretch>
                      <a:fillRect/>
                    </a:stretch>
                  </pic:blipFill>
                  <pic:spPr bwMode="auto">
                    <a:xfrm>
                      <a:off x="0" y="0"/>
                      <a:ext cx="2876550" cy="609600"/>
                    </a:xfrm>
                    <a:prstGeom prst="rect">
                      <a:avLst/>
                    </a:prstGeom>
                  </pic:spPr>
                </pic:pic>
              </a:graphicData>
            </a:graphic>
          </wp:inline>
        </w:drawing>
      </w:r>
    </w:p>
    <w:p>
      <w:pPr>
        <w:pStyle w:val="TextBody"/>
        <w:bidi w:val="0"/>
        <w:spacing w:lineRule="auto" w:line="288" w:before="160" w:after="283"/>
        <w:ind w:left="0" w:right="0" w:firstLine="360"/>
        <w:jc w:val="center"/>
        <w:rPr>
          <w:rFonts w:ascii="Times New Roman;serif" w:hAnsi="Times New Roman;serif"/>
          <w:b w:val="false"/>
          <w:i/>
          <w:color w:val="000000"/>
          <w:sz w:val="36"/>
        </w:rPr>
      </w:pPr>
      <w:r>
        <w:rPr>
          <w:rFonts w:ascii="Times New Roman;serif" w:hAnsi="Times New Roman;serif"/>
          <w:b w:val="false"/>
          <w:i/>
          <w:color w:val="000000"/>
          <w:sz w:val="36"/>
        </w:rPr>
        <w:t>Class A Common Stock</w:t>
      </w:r>
    </w:p>
    <w:p>
      <w:pPr>
        <w:pStyle w:val="TextBody"/>
        <w:bidi w:val="0"/>
        <w:spacing w:before="160" w:after="283"/>
        <w:ind w:left="0" w:right="0" w:firstLine="360"/>
        <w:jc w:val="center"/>
        <w:rPr/>
      </w:pPr>
      <w:r>
        <w:rPr/>
      </w:r>
    </w:p>
    <w:tbl>
      <w:tblPr>
        <w:tblW w:w="4737"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575"/>
        <w:gridCol w:w="575"/>
        <w:gridCol w:w="81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J.P. Morgan</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13. Other Expenses of Issuance and Distribution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all costs and expenses, other than the underwriting discounts and commissions payable by us, in connection with the offer and sale of the securities being registered. All amounts shown are estimates except for the Securities and Exchange Commission, or SEC, registration fee and the FINRA filing fee.</w:t>
      </w:r>
    </w:p>
    <w:tbl>
      <w:tblPr>
        <w:tblW w:w="4559" w:type="dxa"/>
        <w:jc w:val="left"/>
        <w:tblInd w:w="0" w:type="dxa"/>
        <w:tblLayout w:type="fixed"/>
        <w:tblCellMar>
          <w:top w:w="28" w:type="dxa"/>
          <w:left w:w="28" w:type="dxa"/>
          <w:bottom w:w="28" w:type="dxa"/>
          <w:right w:w="28" w:type="dxa"/>
        </w:tblCellMar>
      </w:tblPr>
      <w:tblGrid>
        <w:gridCol w:w="1104"/>
        <w:gridCol w:w="968"/>
        <w:gridCol w:w="972"/>
        <w:gridCol w:w="554"/>
        <w:gridCol w:w="286"/>
        <w:gridCol w:w="675"/>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to be Paid</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 listing fee</w:t>
            </w:r>
          </w:p>
        </w:tc>
        <w:tc>
          <w:tcPr>
            <w:tcW w:w="84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expenses</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84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fees and registrar fees</w:t>
            </w:r>
          </w:p>
        </w:tc>
        <w:tc>
          <w:tcPr>
            <w:tcW w:w="84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 be provided by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14. Indemnification of Directors and Officers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102(b)(7) of the DGCL allows a corporation to provide in its certificate of incorporation that a director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knowingly violated a law, authorized the payment of a dividend or approved a stock repurchase in violation of Delaware corporate law or obtained an improper personal benefit. Our certificate of incorporation will provide for this limitation of liability.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 further authorizes a corporation to purchase and maintain insurance on behalf of any person who is or was a director, officer, employee or agent of the corporation or is or was serving at the request of the corporation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9" name="Frame2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director, officer, employee or agent of another corporation or enterprise, against any liability asserted against him and incurred by him in any such capacity, or arising out of his or status as such, whether or not the corporation would otherwise have the power to indemnify him under Section 145.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will provide that we will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intend to enter into Indemnification Agreements with each of our executive officers and directors. The Indemnification Agreements will provide the executive officers and directors with contractual rights to indemnification, expense advancement and reimbursement, to the fullest extent permitted under the DGCL.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indemnification rights set forth above shall not be exclusive of any other right which an indemnified person may have or hereafter acquire under any statute, provision of our certificate of incorporation or bylaws, agreement, vote of stockholders or disinterested directors or otherwise.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 The proposed form of underwriting agreement to be filed as Exhibit 1.1 to this Registration Statement provides for indemnification of our directors and officers by the underwriters party thereto against certain liabilities arising under the Securities Act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15. Recent Sales of Unregistered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securities sold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January 1, 2023, we have made sales of the following unregistered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15, 2026, Accelevation Holdings Corp. issued 1,000 shares of its common stock to Olympus Growth Fund VIII Parallel L.P. for $10.00. The issuance of such shares of common stock was not registered under the Securities Act because the shares were offered and sold in a transaction exempt from registration under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80" name="Frame2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Exhibits and Financial Statement Schedules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(i)Exhibits</w:t>
      </w:r>
    </w:p>
    <w:tbl>
      <w:tblPr>
        <w:tblW w:w="10205" w:type="dxa"/>
        <w:jc w:val="left"/>
        <w:tblInd w:w="0" w:type="dxa"/>
        <w:tblLayout w:type="fixed"/>
        <w:tblCellMar>
          <w:top w:w="28" w:type="dxa"/>
          <w:left w:w="28" w:type="dxa"/>
          <w:bottom w:w="28" w:type="dxa"/>
          <w:right w:w="28" w:type="dxa"/>
        </w:tblCellMar>
      </w:tblPr>
      <w:tblGrid>
        <w:gridCol w:w="307"/>
        <w:gridCol w:w="271"/>
        <w:gridCol w:w="272"/>
        <w:gridCol w:w="109"/>
        <w:gridCol w:w="109"/>
        <w:gridCol w:w="109"/>
        <w:gridCol w:w="2766"/>
        <w:gridCol w:w="2577"/>
        <w:gridCol w:w="3685"/>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Incorporation of Accelevation Holdings Corp., as currently in effect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Certificate of Incorporation of Accelevation Holdings Corp., to be in effect prior to the consummation of this offering</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Accelevation Holdings Corp., as currently in effect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Bylaws of Accelevation Holdings Corp., to be in effect prior to the closing of this offering</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Registration Rights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Kirkland &amp; Ellis LLP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January 2, 2025, by and among Accelevation Intermediate LLC, Accelevation Buyer LLC, Accelevation Financing Merger Sub LLC, Accelevation LLC, the several lenders from time to time party thereto and MidCap Financial Trust and Monroe Capital, LLC as joint lead arrangers and bookrunners and Barings Finance LLC as documentation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Joinder Agreement and First Amendment to Credit Agreement, dated as of September 5, 2025,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October 6, 2025,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Joinder Agreement and Third Amendment to Credit Agreement, dated as of February 13, 2026,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August 9, 2022, by and between SETCo Tool LLC and Michael Rubiera</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as of May 26, 2026, by and between Accelevation LLC and Kenneth Krause</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December 23, 2022, by and between Accelevation Holding Company, LLC and Charles Hillman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as of May 22, 2026, by and between Accelevation LLC and Brent Jewell</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September 11, 2023, by and between Accelevation LLC and Ericka Harrison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Accelevation Holdings Corp. 2026 Omnibus Incentive Plan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Nomination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Tax Receivable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Exchange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Limited Liability Agreement of Accelevation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subsidiaries of Accelevation Holdings Corp.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Kirkland &amp; Ellis LLP (included in Exhibit 5.1)</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 as to Accelevation Holdings Corp.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 as to Accelevation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BCE Partners,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signature page)</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Manu Bettegowda</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Matt Bujor</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1" name="Frame2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*Indicates to be filed by amendment.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(ii)Financial statement schedules. No financial statement schedules are provided because the information called for is not applicable or is shown in the financial statements 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2" name="Frame2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that:</w:t>
      </w:r>
    </w:p>
    <w:p>
      <w:pPr>
        <w:pStyle w:val="TextBody"/>
        <w:bidi w:val="0"/>
        <w:spacing w:lineRule="auto" w:line="288" w:before="1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 and</w:t>
      </w:r>
    </w:p>
    <w:p>
      <w:pPr>
        <w:pStyle w:val="TextBody"/>
        <w:bidi w:val="0"/>
        <w:spacing w:lineRule="auto" w:line="288" w:before="1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3" name="Frame2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Miamisburg, State of Ohio, on                    , 2026.</w:t>
      </w:r>
    </w:p>
    <w:tbl>
      <w:tblPr>
        <w:tblW w:w="3338" w:type="dxa"/>
        <w:jc w:val="left"/>
        <w:tblInd w:w="0" w:type="dxa"/>
        <w:tblLayout w:type="fixed"/>
        <w:tblCellMar>
          <w:top w:w="28" w:type="dxa"/>
          <w:left w:w="28" w:type="dxa"/>
          <w:bottom w:w="28" w:type="dxa"/>
          <w:right w:w="28" w:type="dxa"/>
        </w:tblCellMar>
      </w:tblPr>
      <w:tblGrid>
        <w:gridCol w:w="124"/>
        <w:gridCol w:w="109"/>
        <w:gridCol w:w="109"/>
        <w:gridCol w:w="437"/>
        <w:gridCol w:w="437"/>
        <w:gridCol w:w="437"/>
        <w:gridCol w:w="437"/>
        <w:gridCol w:w="437"/>
        <w:gridCol w:w="4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Accelevation Holdings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Rubiera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directors and officers of Accelevation Holdings Corp. hereby appoint each of Michael Rubiera and Kenneth Krause, as attorney-in-fact for the undersigned, with full power of substitution and resubstitution, for and in the name, place and stead of the undersigned, to sign and file with the Securities and Exchange Commission under the Securities Act of 1933 any and all amendments (including post-effective amendments) and exhibits to this registration statement on Form S-1 (or any other registration statement for the same offering that is to be effective upon filing pursuant to Rule 462(b) under the Securities Act of 1933)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substitute or substitutes, may lawfully do or cause to be done by virtue hereof.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7718"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1234"/>
        <w:gridCol w:w="1234"/>
        <w:gridCol w:w="1251"/>
        <w:gridCol w:w="109"/>
        <w:gridCol w:w="109"/>
        <w:gridCol w:w="109"/>
        <w:gridCol w:w="544"/>
        <w:gridCol w:w="544"/>
        <w:gridCol w:w="773"/>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Krause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Boyd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4" name="Frame2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273</Pages>
  <Words>140217</Words>
  <Characters>794284</Characters>
  <CharactersWithSpaces>934644</CharactersWithSpaces>
  <Paragraphs>7215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